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Separation and final-pay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WORKING DRAFT.</w:t>
      </w:r>
      <w:r>
        <w:rPr>
          <w:rFonts w:ascii="Times New Roman" w:cs="Times New Roman" w:eastAsia="Times New Roman" w:hAnsi="Times New Roman"/>
          <w:sz w:val="22"/>
          <w:szCs w:val="22"/>
        </w:rPr>
        <w:t xml:space="preserve"> Review the reported facts and any overdue duties before issuing an employment-ending notice. A continuing employment relationship, disputed jurisdiction or separate proposal does not establish a final discharge.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Employer office in Idaho.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Jordan Example, Mailing address in Oregon.
</w:t>
      </w:r>
      <w:r>
        <w:rPr>
          <w:rFonts w:ascii="Times New Roman" w:cs="Times New Roman" w:eastAsia="Times New Roman" w:hAnsi="Times New Roman"/>
          <w:b/>
          <w:bCs/>
          <w:sz w:val="22"/>
          <w:szCs w:val="22"/>
        </w:rPr>
        <w:t xml:space="preserve">Primary work jurisdiction:</w:t>
      </w:r>
      <w:r>
        <w:rPr>
          <w:rFonts w:ascii="Times New Roman" w:cs="Times New Roman" w:eastAsia="Times New Roman" w:hAnsi="Times New Roman"/>
          <w:sz w:val="22"/>
          <w:szCs w:val="22"/>
        </w:rPr>
        <w:t xml:space="preserve"> CA. </w:t>
      </w:r>
      <w:r>
        <w:rPr>
          <w:rFonts w:ascii="Times New Roman" w:cs="Times New Roman" w:eastAsia="Times New Roman" w:hAnsi="Times New Roman"/>
          <w:b/>
          <w:bCs/>
          <w:sz w:val="22"/>
          <w:szCs w:val="22"/>
        </w:rPr>
        <w:t xml:space="preserve">Other work and employment circumstances:</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Reported separation or proposed change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2026-11-06. </w:t>
      </w:r>
      <w:r>
        <w:rPr>
          <w:rFonts w:ascii="Times New Roman" w:cs="Times New Roman" w:eastAsia="Times New Roman" w:hAnsi="Times New Roman"/>
          <w:b/>
          <w:bCs/>
          <w:sz w:val="22"/>
          <w:szCs w:val="22"/>
        </w:rPr>
        <w:t xml:space="preserve">Actual or planned pay date:</w:t>
      </w:r>
      <w:r>
        <w:rPr>
          <w:rFonts w:ascii="Times New Roman" w:cs="Times New Roman" w:eastAsia="Times New Roman" w:hAnsi="Times New Roman"/>
          <w:sz w:val="22"/>
          <w:szCs w:val="22"/>
        </w:rPr>
        <w:t xml:space="preserve"> 2026-11-06.
</w:t>
      </w:r>
      <w:r>
        <w:rPr>
          <w:rFonts w:ascii="Times New Roman" w:cs="Times New Roman" w:eastAsia="Times New Roman" w:hAnsi="Times New Roman"/>
          <w:b/>
          <w:bCs/>
          <w:sz w:val="22"/>
          <w:szCs w:val="22"/>
        </w:rPr>
        <w:t xml:space="preserve">Amount and breakdown entered:</w:t>
      </w:r>
      <w:r>
        <w:rPr>
          <w:rFonts w:ascii="Times New Roman" w:cs="Times New Roman" w:eastAsia="Times New Roman" w:hAnsi="Times New Roman"/>
          <w:sz w:val="22"/>
          <w:szCs w:val="22"/>
        </w:rPr>
        <w:t xml:space="preserve"> $1,300.00. Documented employment facts supplied by the preparer.
</w:t>
      </w:r>
      <w:r>
        <w:rPr>
          <w:rFonts w:ascii="Times New Roman" w:cs="Times New Roman" w:eastAsia="Times New Roman" w:hAnsi="Times New Roman"/>
          <w:b/>
          <w:bCs/>
          <w:sz w:val="22"/>
          <w:szCs w:val="22"/>
        </w:rPr>
        <w:t xml:space="preserve">Remaining actions, any late tender and separate notices:</w:t>
      </w:r>
      <w:r>
        <w:rPr>
          <w:rFonts w:ascii="Times New Roman" w:cs="Times New Roman" w:eastAsia="Times New Roman" w:hAnsi="Times New Roman"/>
          <w:sz w:val="22"/>
          <w:szCs w:val="22"/>
        </w:rPr>
        <w:t xml:space="preserve"> See the wage-law timing and tender record.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This record is an unsigned worksheet. The entered pay date, classification or notice facts need further review. Preserve actual missed dates and identify the correction.
California ordinarily requires all earned, unpaid wages at discharge, including when a permanent layoff ends employment. For a voluntary quit without a written definite-period contract, at least 72 hours of prior notice makes wages due at quitting. With shorter notice, the limit is 72 actual hours after quitting. A requested mailing to a designated address can count on the date mailed under the applicable quitting rule. Identify the place, method and actual time of tender. Pay undisputed wages without requiring a release. Check vested vacation and the applicable agreement. A late payment does not automatically establish a willful waiting-time penalty.
Reported separation time with offset: 2026-11-03T16:00-08:00. Reported final-wage deadline with offset: 2026-11-06T16:01-08:00. Actual or scheduled tender with offset: 2026-11-06T15:00-08:00.</w:t>
      </w:r>
    </w:p>
    <w:p>
      <w:pPr>
        <w:keepNext w:val="false"/>
        <w:keepLines w:val="false"/>
        <w:spacing w:after="200" w:line="320"/>
        <w:jc w:val="both"/>
      </w:pPr>
      <w:r>
        <w:rPr>
          <w:rFonts w:ascii="Times New Roman" w:cs="Times New Roman" w:eastAsia="Times New Roman" w:hAnsi="Times New Roman"/>
          <w:sz w:val="22"/>
          <w:szCs w:val="22"/>
        </w:rPr>
        <w:t xml:space="preserve">Special timing is unresolved. Seasonal group processing, qualifying motion-picture work, oil drilling, an express live-venue hiring-hall agreement, staffing-company discharge versus assignment end, and public employment have different requirements. Do not assume the regular payday or a standard 72-hour extension.
The employer must distinguish a separate written change-of-status notice from the official unemployment-rights pamphlet. For a covered discharge, layoff or leave, both are due no later than the effective date. A voluntary quit has different status-notice treatment. When unemployment begins, check the separate benefits-material duty. Electronic benefits materials require the employee’s affirmative opt-in and the statutory delivery conditions. Use </w:t>
      </w:r>
      <w:r>
        <w:rPr>
          <w:rFonts w:ascii="Times New Roman" w:cs="Times New Roman" w:eastAsia="Times New Roman" w:hAnsi="Times New Roman"/>
          <w:sz w:val="22"/>
          <w:szCs w:val="22"/>
        </w:rPr>
        <w:t xml:space="preserve">California EDD’s forms and pamphlets</w:t>
      </w:r>
      <w:r>
        <w:rPr>
          <w:rFonts w:ascii="Times New Roman" w:cs="Times New Roman" w:eastAsia="Times New Roman" w:hAnsi="Times New Roman"/>
          <w:sz w:val="22"/>
          <w:szCs w:val="22"/>
        </w:rPr>
        <w:t xml:space="preserve"> for the applicable notices.
Separate status notice reported delivered: November 3, 2026. Paper status notice independently furnished in person.</w:t>
      </w:r>
    </w:p>
    <w:p>
      <w:pPr>
        <w:keepNext w:val="false"/>
        <w:keepLines w:val="false"/>
        <w:spacing w:after="200" w:line="320"/>
        <w:jc w:val="both"/>
      </w:pPr>
      <w:r>
        <w:rPr>
          <w:rFonts w:ascii="Times New Roman" w:cs="Times New Roman" w:eastAsia="Times New Roman" w:hAnsi="Times New Roman"/>
          <w:sz w:val="22"/>
          <w:szCs w:val="22"/>
        </w:rPr>
        <w:t xml:space="preserve">Agency material reported furnished: November 3, 2026. Agency materials furnished separately with employer information; retained distribution record.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2026-11-03T16:09:49.202Z</dcterms:created>
  <dcterms:modified xsi:type="dcterms:W3CDTF">2026-11-03T16:09:49.202Z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2026-11-03T16:09:49.207Z</vt:lpwstr>
  </property>
</Properties>
</file>