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Termination Notice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This letter communicates the employer's employment-ending decision on the date stated above. It does not independently establish that the decision is lawful or that the relationship was at will.</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2026-11-06.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2026-11-06.</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California ordinarily requires all earned, unpaid wages at discharge, including when a permanent layoff ends employment. For a voluntary quit without a written definite-period contract, at least 72 hours of prior notice makes wages due at quitting. With shorter notice, the limit is 72 actual hours after quitting. A requested mailing to a designated address can count on the date mailed under the applicable quitting rule. Identify the place, method and actual time of tender. Pay undisputed wages without requiring a release. Check vested vacation and the applicable agreement. A late payment does not automatically establish a willful waiting-time penalty.
Reported separation time with offset: 2026-11-03T16:00-08:00. Reported final-wage deadline with offset: 2026-11-06T16:00-08:00. Actual or scheduled tender with offset: 2026-11-06T15:00-08:00.</w:t>
      </w:r>
    </w:p>
    <w:p>
      <w:pPr>
        <w:keepNext w:val="false"/>
        <w:keepLines w:val="false"/>
        <w:spacing w:after="200" w:line="320"/>
        <w:jc w:val="both"/>
      </w:pPr>
      <w:r>
        <w:rPr>
          <w:rFonts w:ascii="Times New Roman" w:cs="Times New Roman" w:eastAsia="Times New Roman" w:hAnsi="Times New Roman"/>
          <w:sz w:val="22"/>
          <w:szCs w:val="22"/>
        </w:rPr>
        <w:t xml:space="preserve">This group layoff at seasonal end in qualifying perishable-product processing uses only the reasonable time needed for computation and payment, capped at 72 hours. Group canning-season layoff and necessary calculation time reported.</w:t>
      </w:r>
    </w:p>
    <w:p>
      <w:pPr>
        <w:keepNext w:val="false"/>
        <w:keepLines w:val="false"/>
        <w:spacing w:after="200" w:line="320"/>
        <w:jc w:val="both"/>
      </w:pPr>
      <w:r>
        <w:rPr>
          <w:rFonts w:ascii="Times New Roman" w:cs="Times New Roman" w:eastAsia="Times New Roman" w:hAnsi="Times New Roman"/>
          <w:sz w:val="22"/>
          <w:szCs w:val="22"/>
        </w:rPr>
        <w:t xml:space="preserve">The employer must distinguish a separate written change-of-status notice from the official unemployment-rights pamphlet. For a covered discharge, layoff or leave, both are due no later than the effective date. A voluntary quit has different status-notice treatment. When unemployment begins, check the separate benefits-material duty. Electronic benefits materials require the employee’s affirmative opt-in and the statutory delivery conditions. Use </w:t>
      </w:r>
      <w:r>
        <w:rPr>
          <w:rFonts w:ascii="Times New Roman" w:cs="Times New Roman" w:eastAsia="Times New Roman" w:hAnsi="Times New Roman"/>
          <w:sz w:val="22"/>
          <w:szCs w:val="22"/>
        </w:rPr>
        <w:t xml:space="preserve">California EDD’s forms and pamphlets</w:t>
      </w:r>
      <w:r>
        <w:rPr>
          <w:rFonts w:ascii="Times New Roman" w:cs="Times New Roman" w:eastAsia="Times New Roman" w:hAnsi="Times New Roman"/>
          <w:sz w:val="22"/>
          <w:szCs w:val="22"/>
        </w:rPr>
        <w:t xml:space="preserve"> for the applicable notices.
Separate status notice reported delivered: November 3, 2026. Paper status notice independently furnished in person.</w:t>
      </w:r>
    </w:p>
    <w:p>
      <w:pPr>
        <w:keepNext w:val="false"/>
        <w:keepLines w:val="false"/>
        <w:spacing w:after="200" w:line="320"/>
        <w:jc w:val="both"/>
      </w:pPr>
      <w:r>
        <w:rPr>
          <w:rFonts w:ascii="Times New Roman" w:cs="Times New Roman" w:eastAsia="Times New Roman" w:hAnsi="Times New Roman"/>
          <w:sz w:val="22"/>
          <w:szCs w:val="22"/>
        </w:rPr>
        <w:t xml:space="preserve">Agency material reported furnished: November 3, 2026. Agency materials furnished separately with employer information; retained distribution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The organization signs to issue this notice. No employee acceptance or release is implied, and no employee signature is required by this form.</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2026-11-03T16:09:49.937Z</dcterms:created>
  <dcterms:modified xsi:type="dcterms:W3CDTF">2026-11-03T16:09:49.937Z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2026-11-03T16:09:49.943Z</vt:lpwstr>
  </property>
</Properties>
</file>