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 — Misconduct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DC.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investigation and response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Selecting this type does not establish misconduct, criminal liability, gross misconduct for benefit eligibility, or a legally sufficient cause for discharge. No additional allegation is supplied by the form.</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Misconduct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Misconduct Employment Termination Letter</dc:title>
  <dc:creator>Document.com</dc:creator>
  <dc:description>Document.com render • token:SAMPLE</dc:description>
  <cp:lastModifiedBy>Un-named</cp:lastModifiedBy>
  <cp:revision>1</cp:revision>
  <dcterms:created xsi:type="dcterms:W3CDTF">2026-11-03T16:08:01.421Z</dcterms:created>
  <dcterms:modified xsi:type="dcterms:W3CDTF">2026-11-03T16:08:01.421Z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2026-11-03T16:08:01.428Z</vt:lpwstr>
  </property>
</Properties>
</file>