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Activity planning worksheet — unsigned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Participant or representative:</w:t>
      </w:r>
      <w:r>
        <w:rPr>
          <w:rFonts w:ascii="Times New Roman" w:cs="Times New Roman" w:eastAsia="Times New Roman" w:hAnsi="Times New Roman"/>
          <w:sz w:val="22"/>
          <w:szCs w:val="22"/>
        </w:rPr>
        <w:t xml:space="preserve"> Jordan Example, 100 Example St. </w:t>
      </w:r>
      <w:r>
        <w:rPr>
          <w:rFonts w:ascii="Times New Roman" w:cs="Times New Roman" w:eastAsia="Times New Roman" w:hAnsi="Times New Roman"/>
          <w:b/>
          <w:bCs/>
          <w:sz w:val="22"/>
          <w:szCs w:val="22"/>
        </w:rPr>
        <w:t xml:space="preserve">Organization:</w:t>
      </w:r>
      <w:r>
        <w:rPr>
          <w:rFonts w:ascii="Times New Roman" w:cs="Times New Roman" w:eastAsia="Times New Roman" w:hAnsi="Times New Roman"/>
          <w:sz w:val="22"/>
          <w:szCs w:val="22"/>
        </w:rPr>
        <w:t xml:space="preserve"> Example Activity Center, 200 Example St.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b/>
          <w:bCs/>
          <w:sz w:val="22"/>
          <w:szCs w:val="22"/>
        </w:rPr>
        <w:t xml:space="preserve">Activity or equipment use:</w:t>
      </w:r>
      <w:r>
        <w:rPr>
          <w:rFonts w:ascii="Times New Roman" w:cs="Times New Roman" w:eastAsia="Times New Roman" w:hAnsi="Times New Roman"/>
          <w:sz w:val="22"/>
          <w:szCs w:val="22"/>
        </w:rPr>
        <w:t xml:space="preserve"> Recreational use of Example Activity Center. This sample records the proposed activity. Compensation, permission and any agreement have not been settled.
</w:t>
      </w:r>
      <w:r>
        <w:rPr>
          <w:rFonts w:ascii="Times New Roman" w:cs="Times New Roman" w:eastAsia="Times New Roman" w:hAnsi="Times New Roman"/>
          <w:b/>
          <w:bCs/>
          <w:sz w:val="22"/>
          <w:szCs w:val="22"/>
        </w:rPr>
        <w:t xml:space="preserve">Reported activity location:</w:t>
      </w:r>
      <w:r>
        <w:rPr>
          <w:rFonts w:ascii="Times New Roman" w:cs="Times New Roman" w:eastAsia="Times New Roman" w:hAnsi="Times New Roman"/>
          <w:sz w:val="22"/>
          <w:szCs w:val="22"/>
        </w:rPr>
        <w:t xml:space="preserve"> Louisiana (other reported stops may also apply, excluding New York).
</w:t>
      </w:r>
      <w:r>
        <w:rPr>
          <w:rFonts w:ascii="Times New Roman" w:cs="Times New Roman" w:eastAsia="Times New Roman" w:hAnsi="Times New Roman"/>
          <w:b/>
          <w:bCs/>
          <w:sz w:val="22"/>
          <w:szCs w:val="22"/>
        </w:rPr>
        <w:t xml:space="preserve">Particular risks identified:</w:t>
      </w:r>
      <w:r>
        <w:rPr>
          <w:rFonts w:ascii="Times New Roman" w:cs="Times New Roman" w:eastAsia="Times New Roman" w:hAnsi="Times New Roman"/>
          <w:sz w:val="22"/>
          <w:szCs w:val="22"/>
        </w:rPr>
        <w:t xml:space="preserve"> Collisions with other participants while using the designated activity area.</w:t>
      </w:r>
    </w:p>
    <w:p>
      <w:pPr>
        <w:keepNext w:val="false"/>
        <w:keepLines w:val="false"/>
        <w:spacing w:after="200" w:line="320"/>
        <w:jc w:val="both"/>
      </w:pPr>
      <w:r>
        <w:rPr>
          <w:rFonts w:ascii="Times New Roman" w:cs="Times New Roman" w:eastAsia="Times New Roman" w:hAnsi="Times New Roman"/>
          <w:b/>
          <w:bCs/>
          <w:sz w:val="22"/>
          <w:szCs w:val="22"/>
        </w:rPr>
        <w:t xml:space="preserve">Louisiana advance limitations.</w:t>
      </w:r>
      <w:r>
        <w:rPr>
          <w:rFonts w:ascii="Times New Roman" w:cs="Times New Roman" w:eastAsia="Times New Roman" w:hAnsi="Times New Roman"/>
          <w:sz w:val="22"/>
          <w:szCs w:val="22"/>
        </w:rPr>
        <w:t xml:space="preserve"> Under Civil Code article 2004, a party cannot use an advance agreement to exclude or limit liability for causing physical injury to the other party, or for damage caused by intentional or gross fault. This document does not settle an existing claim or allocate liability for property damage.
This worksheet does not authorize participation, release claims or bind anyone. Resolve the activity, parties and applicable requirements before using an operative document.</w:t>
      </w:r>
    </w:p>
    <w:p>
      <w:pPr>
        <w:keepNext w:val="false"/>
        <w:keepLines w:val="false"/>
        <w:spacing w:after="200" w:line="320"/>
        <w:jc w:val="both"/>
      </w:pPr>
      <w:r>
        <w:rPr>
          <w:rFonts w:ascii="Times New Roman" w:cs="Times New Roman" w:eastAsia="Times New Roman" w:hAnsi="Times New Roman"/>
          <w:sz w:val="22"/>
          <w:szCs w:val="22"/>
        </w:rPr>
        <w:t xml:space="preserve">Treatment, use of a photograph, and any separate permission to participate require their own applicable process. The activity location and the chosen law (LA) may differ. This record does not decide a conflict of laws.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Activity planning worksheet — unsigned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planning worksheet — unsigned</dc:title>
  <dc:creator>Document.com</dc:creator>
  <dc:description>Document.com render • token:SAMPLE</dc:description>
  <cp:lastModifiedBy>Un-named</cp:lastModifiedBy>
  <cp:revision>1</cp:revision>
  <dcterms:created xsi:type="dcterms:W3CDTF">2026-11-03T19:51:45.198Z</dcterms:created>
  <dcterms:modified xsi:type="dcterms:W3CDTF">2026-11-03T19:51:45.198Z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2026-11-03T19:51:45.236Z</vt:lpwstr>
  </property>
</Properties>
</file>