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Applicant home in California</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Property in WA and made the following decision.
We denied the rental application.</w:t>
      </w:r>
    </w:p>
    <w:p>
      <w:pPr>
        <w:keepNext/>
        <w:spacing w:after="120" w:before="300"/>
        <w:jc w:val="left"/>
      </w:pPr>
      <w:r>
        <w:rPr>
          <w:rFonts w:ascii="Times New Roman" w:cs="Times New Roman" w:eastAsia="Times New Roman" w:hAnsi="Times New Roman"/>
          <w:b/>
          <w:bCs/>
          <w:sz w:val="24"/>
          <w:szCs w:val="24"/>
        </w:rPr>
        <w:t xml:space="preserve">Washington rental adverse action</w:t>
      </w:r>
    </w:p>
    <w:p>
      <w:pPr>
        <w:keepNext w:val="false"/>
        <w:keepLines w:val="false"/>
        <w:spacing w:after="200" w:line="320"/>
        <w:jc w:val="both"/>
      </w:pPr>
      <w:r>
        <w:rPr>
          <w:rFonts w:ascii="Times New Roman" w:cs="Times New Roman" w:eastAsia="Times New Roman" w:hAnsi="Times New Roman"/>
          <w:sz w:val="22"/>
          <w:szCs w:val="22"/>
        </w:rPr>
        <w:t xml:space="preserve">Applicant: Alex Example, Applicant home in California. Property: Property in WA. Decision date: November 2, 2026. Notice date: November 3, 2026.
Application rejected.
Specific Seattle adult registry information used: Specified adult conviction registry information. The individualized legitimate business reason was Documented necessary interest after individualized review
Basis for the action: information in a consumer report, information in a criminal record. The listed rental reference and the stated criteria informed this decision.
The agency information and rights associated with the report are identified below.</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keepLines/>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Landlord office in Idaho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2026-11-03T15:54:14.101Z</dcterms:created>
  <dcterms:modified xsi:type="dcterms:W3CDTF">2026-11-03T15:54:14.101Z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2026-11-03T15:54:14.109Z</vt:lpwstr>
  </property>
</Properties>
</file>