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OR and made the following decision.
We denied the rental application.</w:t>
      </w:r>
    </w:p>
    <w:p>
      <w:pPr>
        <w:keepNext/>
        <w:spacing w:after="120" w:before="300"/>
        <w:jc w:val="left"/>
      </w:pPr>
      <w:r>
        <w:rPr>
          <w:rFonts w:ascii="Times New Roman" w:cs="Times New Roman" w:eastAsia="Times New Roman" w:hAnsi="Times New Roman"/>
          <w:b/>
          <w:bCs/>
          <w:sz w:val="24"/>
          <w:szCs w:val="24"/>
        </w:rPr>
        <w:t xml:space="preserve">Reasons for the Oregon rental denial</w:t>
      </w:r>
    </w:p>
    <w:p>
      <w:pPr>
        <w:keepNext w:val="false"/>
        <w:keepLines w:val="false"/>
        <w:spacing w:after="200" w:line="320"/>
        <w:jc w:val="both"/>
      </w:pPr>
      <w:r>
        <w:rPr>
          <w:rFonts w:ascii="Times New Roman" w:cs="Times New Roman" w:eastAsia="Times New Roman" w:hAnsi="Times New Roman"/>
          <w:sz w:val="22"/>
          <w:szCs w:val="22"/>
        </w:rPr>
        <w:t xml:space="preserve">Oregon law requires a written statement within 14 days of a qualifying denial. We denied the application on November 2, 2026 for these reasons: Required verifiable rental history was incomplete.</w:t>
      </w:r>
    </w:p>
    <w:p>
      <w:pPr>
        <w:keepNext w:val="false"/>
        <w:keepLines w:val="false"/>
        <w:spacing w:after="200" w:line="320"/>
        <w:jc w:val="both"/>
      </w:pPr>
      <w:r>
        <w:rPr>
          <w:rFonts w:ascii="Times New Roman" w:cs="Times New Roman" w:eastAsia="Times New Roman" w:hAnsi="Times New Roman"/>
          <w:sz w:val="22"/>
          <w:szCs w:val="22"/>
        </w:rPr>
        <w:t xml:space="preserve">We considered the following supplemental evidence: Prior housing provider’s supplemental statement. It did not adequately compensate for the factors in our determination for these reasons: The supplemental statement did not cover the missing tenancy period.</w:t>
      </w:r>
    </w:p>
    <w:p>
      <w:pPr>
        <w:keepNext w:val="false"/>
        <w:keepLines w:val="false"/>
        <w:spacing w:after="200" w:line="320"/>
        <w:jc w:val="both"/>
      </w:pPr>
      <w:r>
        <w:rPr>
          <w:rFonts w:ascii="Times New Roman" w:cs="Times New Roman" w:eastAsia="Times New Roman" w:hAnsi="Times New Roman"/>
          <w:sz w:val="22"/>
          <w:szCs w:val="22"/>
        </w:rPr>
        <w:t xml:space="preserve">You may appeal. Contact Example Owner at the specified address</w:t>
      </w:r>
    </w:p>
    <w:p>
      <w:pPr>
        <w:keepNext/>
        <w:spacing w:after="120" w:before="300"/>
        <w:jc w:val="left"/>
      </w:pPr>
      <w:r>
        <w:rPr>
          <w:rFonts w:ascii="Times New Roman" w:cs="Times New Roman" w:eastAsia="Times New Roman" w:hAnsi="Times New Roman"/>
          <w:b/>
          <w:bCs/>
          <w:sz w:val="24"/>
          <w:szCs w:val="24"/>
        </w:rPr>
        <w:t xml:space="preserve">Portland rental determination</w:t>
      </w:r>
    </w:p>
    <w:p>
      <w:pPr>
        <w:keepNext w:val="false"/>
        <w:keepLines w:val="false"/>
        <w:spacing w:after="200" w:line="320"/>
        <w:jc w:val="both"/>
      </w:pPr>
      <w:r>
        <w:rPr>
          <w:rFonts w:ascii="Times New Roman" w:cs="Times New Roman" w:eastAsia="Times New Roman" w:hAnsi="Times New Roman"/>
          <w:sz w:val="22"/>
          <w:szCs w:val="22"/>
        </w:rPr>
        <w:t xml:space="preserve">A covered Portland determination is due within two weeks after completion of the evaluation. Evaluation completed on October 30, 2026. Basis for the determination: Actual work reference was not verified.
You may appeal for 30 days following denial to correct, refute or explain negative information. Contact Example Owner at the specified address. If your appeal is approved, you are prequalified for rental opportunities at the landlord's Portland properties for the three months after approval. Your screening fee will be waived during that period, subject to any permissible self-certification of materially unchanged circumstances. For this individual assessment the landlord must also issue the written denial within two weeks after denial. The landlord’s individualized assessment: Incident factors and supporting documentation examined by landlord.</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2026-11-03T15:54:17.696Z</dcterms:created>
  <dcterms:modified xsi:type="dcterms:W3CDTF">2026-11-03T15:54:17.696Z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2026-11-03T15:54:17.703Z</vt:lpwstr>
  </property>
</Properties>
</file>