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Personal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Personal 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individuals can speak to the applicant's character, reliability, and personal integrity.</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1. 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2. 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Personal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D015B3F8A4685F10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Reference List</dc:title>
  <dc:creator>Document.com</dc:creator>
  <dc:description>Document.com render • token:D015B3F8A4685F10</dc:description>
  <cp:lastModifiedBy>Un-named</cp:lastModifiedBy>
  <cp:revision>1</cp:revision>
  <dcterms:created xsi:type="dcterms:W3CDTF">2026-11-03T20:14:48.091Z</dcterms:created>
  <dcterms:modified xsi:type="dcterms:W3CDTF">2026-11-03T20:14:48.091Z</dcterms:modified>
  <dc:subject>dc_token:D015B3F8A4685F10</dc:subject>
  <cp:keywords>dc_token:D015B3F8A4685F10</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D015B3F8A4685F10</vt:lpwstr>
  </property>
  <property fmtid="{D5CDD505-2E9C-101B-9397-08002B2CF9AE}" pid="3" name="dc_generator">
    <vt:lpwstr>Document.com</vt:lpwstr>
  </property>
  <property fmtid="{D5CDD505-2E9C-101B-9397-08002B2CF9AE}" pid="4" name="dc_generated_at">
    <vt:lpwstr>2026-11-03T20:14:48.102Z</vt:lpwstr>
  </property>
</Properties>
</file>