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April 30,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The season is expected to end on February 19, 2027.</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Housekeeping Attendant. The employer describes this as the prior position. Work location: Example worksite in IL (IL). Schedule: Variable shifts Tuesday through Saturday, 8:00 AM to 4:30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An eligible return from FMLA leave generally requires the same or a virtually identical job. Compare actual pay, duties, benefits, schedule and worksite with the prior position. Restore group health coverage on the applicable terms without a new waiting period attributable solely to protected leave. A proposed material change needs separate review.</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w:t>
      </w:r>
    </w:p>
    <w:p>
      <w:pPr>
        <w:keepNext w:val="false"/>
        <w:keepLines w:val="false"/>
        <w:spacing w:after="200" w:line="320"/>
        <w:jc w:val="both"/>
      </w:pPr>
      <w:r>
        <w:rPr>
          <w:rFonts w:ascii="Times New Roman" w:cs="Times New Roman" w:eastAsia="Times New Roman" w:hAnsi="Times New Roman"/>
          <w:sz w:val="22"/>
          <w:szCs w:val="22"/>
        </w:rPr>
        <w:t xml:space="preserve">Contact Amelia Tran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Illinois evaluates an offer, refusal without good cause and suitability using health, safety, morals, fitness, training, experience, prior earnings, unemployment duration, local prospects and commuting distance. Labor-dispute vacancies, substantially less favorable terms, compulsory union conditions and specified displacement transfers have separate protections under section 603.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Check the work physically performed in Chicago, industry, employer and covered-worker counts, pay threshold in force and any staffing-assignment rules before applying a schedule requirement.</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For a true rehire more than three years after original Form I-9 completion, complete a new Form I-9. Section 1 is due by the first day of paid work after offer acceptance. Section 2 generally is due within three business days after that first day; for employment under three business days, complete it on the first day. The employee chooses an acceptable List A document or List B and C documents.</w:t>
      </w:r>
    </w:p>
    <w:p>
      <w:pPr>
        <w:keepNext w:val="false"/>
        <w:keepLines w:val="false"/>
        <w:spacing w:after="200" w:line="320"/>
        <w:jc w:val="both"/>
      </w:pPr>
      <w:r>
        <w:rPr>
          <w:rFonts w:ascii="Times New Roman" w:cs="Times New Roman" w:eastAsia="Times New Roman" w:hAnsi="Times New Roman"/>
          <w:sz w:val="22"/>
          <w:szCs w:val="22"/>
        </w:rPr>
        <w:t xml:space="preserve">Confirm the facts and the status of previously announced dates before making any group notice statement.</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Amelia Tran at (407) 555-0181 or amelia.tran@sunshoreresort.example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Carlos Mendes, Director of Hospitality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Seasonal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Seasonal Recall to Work Letter</dc:title>
  <dc:creator>Document.com</dc:creator>
  <dc:description>Document.com render • token:SAMPLE</dc:description>
  <cp:lastModifiedBy>Un-named</cp:lastModifiedBy>
  <cp:revision>1</cp:revision>
  <dcterms:created xsi:type="dcterms:W3CDTF">2026-11-03T15:20:03.933Z</dcterms:created>
  <dcterms:modified xsi:type="dcterms:W3CDTF">2026-11-03T15:20:03.933Z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2026-11-03T15:20:03.966Z</vt:lpwstr>
  </property>
</Properties>
</file>