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IL (IL).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An eligible return from FMLA leave generally requires the same or a virtually identical job. Compare actual pay, duties, benefits, schedule and worksite with the prior position. Restore group health coverage on the applicable terms without a new waiting period attributable solely to protected leave. A proposed material change needs separate review.</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Illinois evaluates an offer, refusal without good cause and suitability using health, safety, morals, fitness, training, experience, prior earnings, unemployment duration, local prospects and commuting distance. Labor-dispute vacancies, substantially less favorable terms, compulsory union conditions and specified displacement transfers have separate protections under section 603.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Check the work physically performed in Chicago, industry, employer and covered-worker counts, pay threshold in force and any staffing-assignment rules before applying a schedule requirement.</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For a true rehire more than three years after original Form I-9 completion, complete a new Form I-9. Section 1 is due by the first day of paid work after offer acceptance. Section 2 generally is due within three business days after that first day; for employment under three business days, complete it on the first day. The employee chooses an acceptable List A document or List B and C documents.</w:t>
      </w:r>
    </w:p>
    <w:p>
      <w:pPr>
        <w:keepNext w:val="false"/>
        <w:keepLines w:val="false"/>
        <w:spacing w:after="200" w:line="320"/>
        <w:jc w:val="both"/>
      </w:pPr>
      <w:r>
        <w:rPr>
          <w:rFonts w:ascii="Times New Roman" w:cs="Times New Roman" w:eastAsia="Times New Roman" w:hAnsi="Times New Roman"/>
          <w:sz w:val="22"/>
          <w:szCs w:val="22"/>
        </w:rPr>
        <w:t xml:space="preserve">An initially announced layoff of six months or less extending beyond six months is treated as an employment loss unless business circumstances causing the extension were not reasonably foreseeable at the outset and notice was given when the extension became reasonably foreseeable. Check all other federal and state coverage factors.</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2026-11-03T15:20:01.172Z</dcterms:created>
  <dcterms:modified xsi:type="dcterms:W3CDTF">2026-11-03T15:20:01.172Z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2026-11-03T15:20:01.177Z</vt:lpwstr>
  </property>
</Properties>
</file>