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April 30,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The season is expected to end on February 19, 2027.</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Housekeeping Attendant. The employer describes this as the prior position. Work location: Example worksite in IL (IL). Schedule: Variable shifts Tuesday through Saturday, 8:00 AM to 4:30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An eligible return from FMLA leave generally requires the same or a virtually identical job. Compare actual pay, duties, benefits, schedule and worksite with the prior position. Restore group health coverage on the applicable terms without a new waiting period attributable solely to protected leave. A proposed material change needs separate review.</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Amelia Tran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Illinois evaluates an offer, refusal without good cause and suitability using health, safety, morals, fitness, training, experience, prior earnings, unemployment duration, local prospects and commuting distance. Labor-dispute vacancies, substantially less favorable terms, compulsory union conditions and specified displacement transfers have separate protections under section 603.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Check the work physically performed in Chicago, industry, employer and covered-worker counts, pay threshold in force and any staffing-assignment rules before applying a schedule requirement.</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For a true rehire more than three years after original Form I-9 completion, complete a new Form I-9. Section 1 is due by the first day of paid work after offer acceptance. Section 2 generally is due within three business days after that first day; for employment under three business days, complete it on the first day. The employee chooses an acceptable List A document or List B and C documents.</w:t>
      </w:r>
    </w:p>
    <w:p>
      <w:pPr>
        <w:keepNext w:val="false"/>
        <w:keepLines w:val="false"/>
        <w:spacing w:after="200" w:line="320"/>
        <w:jc w:val="both"/>
      </w:pPr>
      <w:r>
        <w:rPr>
          <w:rFonts w:ascii="Times New Roman" w:cs="Times New Roman" w:eastAsia="Times New Roman" w:hAnsi="Times New Roman"/>
          <w:sz w:val="22"/>
          <w:szCs w:val="22"/>
        </w:rPr>
        <w:t xml:space="preserve">Review any cancellation communication separately with the proper recipients. A recall letter to one person does not establish cancellation or service for other employees or public bodies. Section 639.10 covers extensions of an announced event.</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Amelia Tran at (407) 555-0181 or amelia.tran@sunshoreresort.example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Carlos Mendes, Director of Hospitality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Seasonal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Seasonal Recall to Work Letter</dc:title>
  <dc:creator>Document.com</dc:creator>
  <dc:description>Document.com render • token:SAMPLE</dc:description>
  <cp:lastModifiedBy>Un-named</cp:lastModifiedBy>
  <cp:revision>1</cp:revision>
  <dcterms:created xsi:type="dcterms:W3CDTF">2026-11-03T15:20:01.426Z</dcterms:created>
  <dcterms:modified xsi:type="dcterms:W3CDTF">2026-11-03T15:20:01.426Z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2026-11-03T15:20:01.432Z</vt:lpwstr>
  </property>
</Properties>
</file>