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March 1, 2027</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March 20, 2020. The proposed start is </w:t>
      </w:r>
      <w:r>
        <w:rPr>
          <w:rFonts w:ascii="Times New Roman" w:cs="Times New Roman" w:eastAsia="Times New Roman" w:hAnsi="Times New Roman"/>
          <w:b/>
          <w:bCs/>
          <w:sz w:val="22"/>
          <w:szCs w:val="22"/>
        </w:rPr>
        <w:t xml:space="preserve">March 22, 2027</w:t>
      </w:r>
      <w:r>
        <w:rPr>
          <w:rFonts w:ascii="Times New Roman" w:cs="Times New Roman" w:eastAsia="Times New Roman" w:hAnsi="Times New Roman"/>
          <w:sz w:val="22"/>
          <w:szCs w:val="22"/>
        </w:rPr>
        <w:t xml:space="preserve">. The employer identifies a pandemic-related interruption on March 20, 2020. Any right of recall depends on the affected enterprise, dates, covered worker and law.</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Line Cook. The employer describes this as the prior position. Work location: Example worksite in TX (TX). Schedule: Tuesday through Saturday, 2:00 PM to 10:30 PM, 40 hours per week. Proposed status: Full Time.
Offered hourly pay: $20.00.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w:t>
      </w:r>
    </w:p>
    <w:p>
      <w:pPr>
        <w:keepNext w:val="false"/>
        <w:keepLines w:val="false"/>
        <w:spacing w:after="200" w:line="320"/>
        <w:jc w:val="both"/>
      </w:pPr>
      <w:r>
        <w:rPr>
          <w:rFonts w:ascii="Times New Roman" w:cs="Times New Roman" w:eastAsia="Times New Roman" w:hAnsi="Times New Roman"/>
          <w:sz w:val="22"/>
          <w:szCs w:val="22"/>
        </w:rPr>
        <w:t xml:space="preserve">Contact Daniel Okonkwo if you need an adjustment related to disability, pregnancy, childbirth or religious practice. The employer will consider the applicable accommodation process and timing.
Check the collective agreement's recall order, seniority, notice and benefit provisions together with statutory protections.</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California UI distinguishes a refusal without good cause from an offer of unsuitable work. EDD evaluates actual duties, wages, conditions, distance, prior experience and other statutory factors.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The original or successor enterprise has a California connection. California Labor Code section 2810.8 includes certain hotels, private clubs, event centers, airport hospitality and service businesses, and commercial building services. Check enterprise definitions, at least six months of employment and at least two hours of work in a particular week, the most recent separation on or after March 4, 2020, the COVID-related cause or rebuttable economic-layoff presumption, qualification for the same or similar position and any sale of assets, change of ownership, reorganization or relocation. A hotel needs at least 50 rooms or suites using the greater of opening and December 31, 2019 counts.
Violations occurring on or before December 31, 2026 remain enforceable under the statutory savings provision. Preserve the original vacancy, delivery and receipt evidence.
For a covered vacancy in the operative period, offer available qualified positions in writing within five business days of establishing the position. Deliver by hand or to the last known physical address, and also email and text if that contact information is available. Give at least five business days </w:t>
      </w:r>
      <w:r>
        <w:rPr>
          <w:rFonts w:ascii="Times New Roman" w:cs="Times New Roman" w:eastAsia="Times New Roman" w:hAnsi="Times New Roman"/>
          <w:b/>
          <w:bCs/>
          <w:sz w:val="22"/>
          <w:szCs w:val="22"/>
        </w:rPr>
        <w:t xml:space="preserve">from actual receipt</w:t>
      </w:r>
      <w:r>
        <w:rPr>
          <w:rFonts w:ascii="Times New Roman" w:cs="Times New Roman" w:eastAsia="Times New Roman" w:hAnsi="Times New Roman"/>
          <w:sz w:val="22"/>
          <w:szCs w:val="22"/>
        </w:rPr>
        <w:t xml:space="preserve"> to accept or decline, excluding Saturdays, Sundays and official state holidays. Apply length-of-service priority among qualified laid-off employees. Simultaneous offers may be conditional on that priority. Preserve required records for at least three years from the written layoff notice. When a worker is bypassed for lack of qualifications and someone other than a laid-off employee is hired, give the reasons and service length of those hired in writing within 30 days.</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Confirm whether employment continued and when the original Form I-9 was completed before deciding on a new form, Supplement B or any reverification.</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Daniel Okonkwo at (312) 555-0133 or daniel.okonkwo@windwardkitchen.example to accept, decline, ask questions or request an adjustment. Confirm the applicable response period and actual receipt before using any deadline. We have left the reply date open.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Lena Petrova, General Manager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Pandemic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Pandemic Recall to Work Letter</dc:title>
  <dc:creator>Document.com</dc:creator>
  <dc:description>Document.com render • token:SAMPLE</dc:description>
  <cp:lastModifiedBy>Un-named</cp:lastModifiedBy>
  <cp:revision>1</cp:revision>
  <dcterms:created xsi:type="dcterms:W3CDTF">2026-11-03T15:19:56.272Z</dcterms:created>
  <dcterms:modified xsi:type="dcterms:W3CDTF">2026-11-03T15:19:56.272Z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2026-11-03T15:19:56.279Z</vt:lpwstr>
  </property>
</Properties>
</file>