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Austin, TX.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tenancy can be terminated on the stated grounds and what notices or judicial proceedings must come first.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Texas property.</w:t>
      </w:r>
      <w:r>
        <w:rPr>
          <w:rFonts w:ascii="Times New Roman" w:cs="Times New Roman" w:eastAsia="Times New Roman" w:hAnsi="Times New Roman"/>
          <w:sz w:val="22"/>
          <w:szCs w:val="22"/>
        </w:rPr>
        <w:t xml:space="preserve"> A request to reduce noise does not demand possession. Under Property Code §§24.002(b) and 24.005, verify that the person entitled to possession makes the required written demand and establish the grounds for ending the right to possession. Where a lease or applicable law requires an opportunity to respond to a proposed eviction, §24.005(e) permits the subsection (a) period to run concurrently and the opportunity to be included in the notice. In the ordinary defaulting-tenant case, §24.005(a) generally calls for at least three days before filing unless a written lease or agreement sets a shorter or longer period. Verify delivery, receipt, the applicable counting rules and the specific tenancy before calculating a deadline.</w:t>
      </w:r>
    </w:p>
    <w:p>
      <w:pPr>
        <w:keepNext w:val="false"/>
        <w:keepLines w:val="false"/>
        <w:spacing w:after="200" w:line="320"/>
        <w:jc w:val="both"/>
      </w:pPr>
      <w:r>
        <w:rPr>
          <w:rFonts w:ascii="Times New Roman" w:cs="Times New Roman" w:eastAsia="Times New Roman" w:hAnsi="Times New Roman"/>
          <w:sz w:val="22"/>
          <w:szCs w:val="22"/>
        </w:rPr>
        <w:t xml:space="preserve">Texas Property Code, Chapter 24</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8EAB5FA944AFC551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token:8EAB5FA944AFC551</dc:description>
  <cp:lastModifiedBy>Un-named</cp:lastModifiedBy>
  <cp:revision>1</cp:revision>
  <dcterms:created xsi:type="dcterms:W3CDTF">2026-11-03T21:50:55.326Z</dcterms:created>
  <dcterms:modified xsi:type="dcterms:W3CDTF">2026-11-03T21:50:55.326Z</dcterms:modified>
  <dc:subject>dc_token:8EAB5FA944AFC551</dc:subject>
  <cp:keywords>dc_token:8EAB5FA944AFC551</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8EAB5FA944AFC551</vt:lpwstr>
  </property>
  <property fmtid="{D5CDD505-2E9C-101B-9397-08002B2CF9AE}" pid="3" name="dc_generator">
    <vt:lpwstr>Document.com</vt:lpwstr>
  </property>
  <property fmtid="{D5CDD505-2E9C-101B-9397-08002B2CF9AE}" pid="4" name="dc_generated_at">
    <vt:lpwstr>2026-11-03T21:50:55.331Z</vt:lpwstr>
  </property>
</Properties>
</file>