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Property notice preparation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worksheet – do not serve on the resident.</w:t>
      </w:r>
    </w:p>
    <w:p>
      <w:pPr>
        <w:keepNext w:val="false"/>
        <w:keepLines w:val="false"/>
        <w:spacing w:after="200" w:line="320"/>
        <w:jc w:val="both"/>
      </w:pPr>
      <w:r>
        <w:rPr>
          <w:rFonts w:ascii="Times New Roman" w:cs="Times New Roman" w:eastAsia="Times New Roman" w:hAnsi="Times New Roman"/>
          <w:sz w:val="22"/>
          <w:szCs w:val="22"/>
        </w:rPr>
        <w:t xml:space="preserve">Property jurisdiction: Salem, OR. Prepared for Casey Example on October 8, 2026.</w:t>
      </w:r>
    </w:p>
    <w:p>
      <w:pPr>
        <w:keepNext w:val="false"/>
        <w:keepLines w:val="false"/>
        <w:spacing w:after="200" w:line="320"/>
        <w:jc w:val="both"/>
      </w:pPr>
      <w:r>
        <w:rPr>
          <w:rFonts w:ascii="Times New Roman" w:cs="Times New Roman" w:eastAsia="Times New Roman" w:hAnsi="Times New Roman"/>
          <w:b/>
          <w:bCs/>
          <w:sz w:val="22"/>
          <w:szCs w:val="22"/>
        </w:rPr>
        <w:t xml:space="preserve">Intended next step:</w:t>
      </w:r>
      <w:r>
        <w:rPr>
          <w:rFonts w:ascii="Times New Roman" w:cs="Times New Roman" w:eastAsia="Times New Roman" w:hAnsi="Times New Roman"/>
          <w:sz w:val="22"/>
          <w:szCs w:val="22"/>
        </w:rPr>
        <w:t xml:space="preserve"> Review whether the conduct is an actionable, curable breach and identify the correct notice to give an opportunity to correct it.</w:t>
      </w:r>
    </w:p>
    <w:p>
      <w:pPr>
        <w:keepNext/>
        <w:spacing w:after="120" w:before="300"/>
        <w:jc w:val="left"/>
      </w:pPr>
      <w:r>
        <w:rPr>
          <w:rFonts w:ascii="Times New Roman" w:cs="Times New Roman" w:eastAsia="Times New Roman" w:hAnsi="Times New Roman"/>
          <w:b/>
          <w:bCs/>
          <w:sz w:val="24"/>
          <w:szCs w:val="24"/>
        </w:rPr>
        <w:t xml:space="preserve">Incident record</w:t>
      </w:r>
    </w:p>
    <w:p>
      <w:pPr>
        <w:keepNext w:val="false"/>
        <w:keepLines w:val="false"/>
        <w:spacing w:after="200" w:line="320"/>
        <w:jc w:val="both"/>
      </w:pPr>
      <w:r>
        <w:rPr>
          <w:rFonts w:ascii="Times New Roman" w:cs="Times New Roman" w:eastAsia="Times New Roman" w:hAnsi="Times New Roman"/>
          <w:sz w:val="22"/>
          <w:szCs w:val="22"/>
        </w:rPr>
        <w:t xml:space="preserve">Reported occurrence from October 6, 2026 through October 6, 2026. Time or frequency: 8 p.m. to 8:15 p.m. on one occasion.</w:t>
      </w:r>
    </w:p>
    <w:p>
      <w:pPr>
        <w:keepNext w:val="false"/>
        <w:keepLines w:val="false"/>
        <w:spacing w:after="200" w:line="320"/>
        <w:jc w:val="both"/>
      </w:pPr>
      <w:r>
        <w:rPr>
          <w:rFonts w:ascii="Times New Roman" w:cs="Times New Roman" w:eastAsia="Times New Roman" w:hAnsi="Times New Roman"/>
          <w:sz w:val="22"/>
          <w:szCs w:val="22"/>
        </w:rPr>
        <w:t xml:space="preserve">One reported incident of music heard near the property. Its source has not been confirmed.</w:t>
      </w:r>
    </w:p>
    <w:p>
      <w:pPr>
        <w:keepNext w:val="false"/>
        <w:keepLines w:val="false"/>
        <w:spacing w:after="200" w:line="320"/>
        <w:jc w:val="both"/>
      </w:pPr>
      <w:r>
        <w:rPr>
          <w:rFonts w:ascii="Times New Roman" w:cs="Times New Roman" w:eastAsia="Times New Roman" w:hAnsi="Times New Roman"/>
          <w:sz w:val="22"/>
          <w:szCs w:val="22"/>
        </w:rPr>
        <w:t xml:space="preserve">Reported location: 29 Pine Street.</w:t>
      </w:r>
    </w:p>
    <w:p>
      <w:pPr>
        <w:keepNext/>
        <w:spacing w:after="120" w:before="300"/>
        <w:jc w:val="left"/>
      </w:pPr>
      <w:r>
        <w:rPr>
          <w:rFonts w:ascii="Times New Roman" w:cs="Times New Roman" w:eastAsia="Times New Roman" w:hAnsi="Times New Roman"/>
          <w:b/>
          <w:bCs/>
          <w:sz w:val="24"/>
          <w:szCs w:val="24"/>
        </w:rPr>
        <w:t xml:space="preserve">Before preparing or serving a formal notice</w:t>
      </w:r>
    </w:p>
    <w:p>
      <w:pPr>
        <w:keepNext w:val="false"/>
        <w:keepLines w:val="false"/>
        <w:spacing w:after="200" w:line="320"/>
        <w:jc w:val="both"/>
      </w:pPr>
      <w:r>
        <w:rPr>
          <w:rFonts w:ascii="Times New Roman" w:cs="Times New Roman" w:eastAsia="Times New Roman" w:hAnsi="Times New Roman"/>
          <w:sz w:val="22"/>
          <w:szCs w:val="22"/>
        </w:rPr>
        <w:t xml:space="preserve">Confirm who has authority, the premises and occupants, residential or commercial status, the precise lease ground, whether the breach can be corrected, lawful service, and any local, subsidized-housing or other protection. Keep the original evidence and distinguish personal observations from reports. Check for any accommodation obligations before deciding on enforcement. No service, cure deadline, termination or possession demand has been made by producing this worksheet.</w:t>
      </w:r>
    </w:p>
    <w:p>
      <w:pPr>
        <w:keepNext w:val="false"/>
        <w:keepLines w:val="false"/>
        <w:spacing w:after="200" w:line="320"/>
        <w:jc w:val="both"/>
      </w:pPr>
      <w:r>
        <w:rPr>
          <w:rFonts w:ascii="Times New Roman" w:cs="Times New Roman" w:eastAsia="Times New Roman" w:hAnsi="Times New Roman"/>
          <w:b/>
          <w:bCs/>
          <w:sz w:val="22"/>
          <w:szCs w:val="22"/>
        </w:rPr>
        <w:t xml:space="preserve">Other property jurisdictions.</w:t>
      </w:r>
      <w:r>
        <w:rPr>
          <w:rFonts w:ascii="Times New Roman" w:cs="Times New Roman" w:eastAsia="Times New Roman" w:hAnsi="Times New Roman"/>
          <w:sz w:val="22"/>
          <w:szCs w:val="22"/>
        </w:rPr>
        <w:t xml:space="preserve"> Locate the applicable state court’s landlord–tenant instructions and the rules of the city or county where the property is situated. Determine the required notice, content, recipient, delivery and time under the governing law before drafting anything to 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Landlord To Tenant Noise Complaint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5C0F448469DD7836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To Tenant Noise Complaint Letter</dc:title>
  <dc:creator>Document.com</dc:creator>
  <dc:description>Document.com render • token:5C0F448469DD7836</dc:description>
  <cp:lastModifiedBy>Un-named</cp:lastModifiedBy>
  <cp:revision>1</cp:revision>
  <dcterms:created xsi:type="dcterms:W3CDTF">2026-11-03T21:51:07.395Z</dcterms:created>
  <dcterms:modified xsi:type="dcterms:W3CDTF">2026-11-03T21:51:07.395Z</dcterms:modified>
  <dc:subject>dc_token:5C0F448469DD7836</dc:subject>
  <cp:keywords>dc_token:5C0F448469DD7836</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5C0F448469DD7836</vt:lpwstr>
  </property>
  <property fmtid="{D5CDD505-2E9C-101B-9397-08002B2CF9AE}" pid="3" name="dc_generator">
    <vt:lpwstr>Document.com</vt:lpwstr>
  </property>
  <property fmtid="{D5CDD505-2E9C-101B-9397-08002B2CF9AE}" pid="4" name="dc_generated_at">
    <vt:lpwstr>2026-11-03T21:51:07.400Z</vt:lpwstr>
  </property>
</Properties>
</file>