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Property notice preparation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Internal worksheet – do not serve on the resident.</w:t>
      </w:r>
    </w:p>
    <w:p>
      <w:pPr>
        <w:keepNext w:val="false"/>
        <w:keepLines w:val="false"/>
        <w:spacing w:after="200" w:line="320"/>
        <w:jc w:val="both"/>
      </w:pPr>
      <w:r>
        <w:rPr>
          <w:rFonts w:ascii="Times New Roman" w:cs="Times New Roman" w:eastAsia="Times New Roman" w:hAnsi="Times New Roman"/>
          <w:sz w:val="22"/>
          <w:szCs w:val="22"/>
        </w:rPr>
        <w:t xml:space="preserve">Property jurisdiction: Albany, NY. Prepared for Casey Example on October 8, 2026.</w:t>
      </w:r>
    </w:p>
    <w:p>
      <w:pPr>
        <w:keepNext w:val="false"/>
        <w:keepLines w:val="false"/>
        <w:spacing w:after="200" w:line="320"/>
        <w:jc w:val="both"/>
      </w:pPr>
      <w:r>
        <w:rPr>
          <w:rFonts w:ascii="Times New Roman" w:cs="Times New Roman" w:eastAsia="Times New Roman" w:hAnsi="Times New Roman"/>
          <w:b/>
          <w:bCs/>
          <w:sz w:val="22"/>
          <w:szCs w:val="22"/>
        </w:rPr>
        <w:t xml:space="preserve">Intended next step:</w:t>
      </w:r>
      <w:r>
        <w:rPr>
          <w:rFonts w:ascii="Times New Roman" w:cs="Times New Roman" w:eastAsia="Times New Roman" w:hAnsi="Times New Roman"/>
          <w:sz w:val="22"/>
          <w:szCs w:val="22"/>
        </w:rPr>
        <w:t xml:space="preserve"> Review whether the tenancy can be terminated on the stated grounds and what notices or judicial proceedings must come first.</w:t>
      </w:r>
    </w:p>
    <w:p>
      <w:pPr>
        <w:keepNext/>
        <w:spacing w:after="120" w:before="300"/>
        <w:jc w:val="left"/>
      </w:pPr>
      <w:r>
        <w:rPr>
          <w:rFonts w:ascii="Times New Roman" w:cs="Times New Roman" w:eastAsia="Times New Roman" w:hAnsi="Times New Roman"/>
          <w:b/>
          <w:bCs/>
          <w:sz w:val="24"/>
          <w:szCs w:val="24"/>
        </w:rPr>
        <w:t xml:space="preserve">Incident record</w:t>
      </w:r>
    </w:p>
    <w:p>
      <w:pPr>
        <w:keepNext w:val="false"/>
        <w:keepLines w:val="false"/>
        <w:spacing w:after="200" w:line="320"/>
        <w:jc w:val="both"/>
      </w:pPr>
      <w:r>
        <w:rPr>
          <w:rFonts w:ascii="Times New Roman" w:cs="Times New Roman" w:eastAsia="Times New Roman" w:hAnsi="Times New Roman"/>
          <w:sz w:val="22"/>
          <w:szCs w:val="22"/>
        </w:rPr>
        <w:t xml:space="preserve">Reported occurrence from October 6, 2026 through October 6, 2026. Time or frequency: 8 p.m. to 8:15 p.m. on one occasion.</w:t>
      </w:r>
    </w:p>
    <w:p>
      <w:pPr>
        <w:keepNext w:val="false"/>
        <w:keepLines w:val="false"/>
        <w:spacing w:after="200" w:line="320"/>
        <w:jc w:val="both"/>
      </w:pPr>
      <w:r>
        <w:rPr>
          <w:rFonts w:ascii="Times New Roman" w:cs="Times New Roman" w:eastAsia="Times New Roman" w:hAnsi="Times New Roman"/>
          <w:sz w:val="22"/>
          <w:szCs w:val="22"/>
        </w:rPr>
        <w:t xml:space="preserve">One reported incident of music heard near the property. Its source has not been confirmed.</w:t>
      </w:r>
    </w:p>
    <w:p>
      <w:pPr>
        <w:keepNext w:val="false"/>
        <w:keepLines w:val="false"/>
        <w:spacing w:after="200" w:line="320"/>
        <w:jc w:val="both"/>
      </w:pPr>
      <w:r>
        <w:rPr>
          <w:rFonts w:ascii="Times New Roman" w:cs="Times New Roman" w:eastAsia="Times New Roman" w:hAnsi="Times New Roman"/>
          <w:sz w:val="22"/>
          <w:szCs w:val="22"/>
        </w:rPr>
        <w:t xml:space="preserve">Reported location: 29 Pine Street.</w:t>
      </w:r>
    </w:p>
    <w:p>
      <w:pPr>
        <w:keepNext/>
        <w:spacing w:after="120" w:before="300"/>
        <w:jc w:val="left"/>
      </w:pPr>
      <w:r>
        <w:rPr>
          <w:rFonts w:ascii="Times New Roman" w:cs="Times New Roman" w:eastAsia="Times New Roman" w:hAnsi="Times New Roman"/>
          <w:b/>
          <w:bCs/>
          <w:sz w:val="24"/>
          <w:szCs w:val="24"/>
        </w:rPr>
        <w:t xml:space="preserve">Before preparing or serving a formal notice</w:t>
      </w:r>
    </w:p>
    <w:p>
      <w:pPr>
        <w:keepNext w:val="false"/>
        <w:keepLines w:val="false"/>
        <w:spacing w:after="200" w:line="320"/>
        <w:jc w:val="both"/>
      </w:pPr>
      <w:r>
        <w:rPr>
          <w:rFonts w:ascii="Times New Roman" w:cs="Times New Roman" w:eastAsia="Times New Roman" w:hAnsi="Times New Roman"/>
          <w:sz w:val="22"/>
          <w:szCs w:val="22"/>
        </w:rPr>
        <w:t xml:space="preserve">Confirm who has authority, the premises and occupants, residential or commercial status, the precise lease ground, whether the breach can be corrected, lawful service, and any local, subsidized-housing or other protection. Keep the original evidence and distinguish personal observations from reports. Check for any accommodation obligations before deciding on enforcement. No service, cure deadline, termination or possession demand has been made by producing this worksheet.</w:t>
      </w:r>
    </w:p>
    <w:p>
      <w:pPr>
        <w:keepNext w:val="false"/>
        <w:keepLines w:val="false"/>
        <w:spacing w:after="200" w:line="320"/>
        <w:jc w:val="both"/>
      </w:pPr>
      <w:r>
        <w:rPr>
          <w:rFonts w:ascii="Times New Roman" w:cs="Times New Roman" w:eastAsia="Times New Roman" w:hAnsi="Times New Roman"/>
          <w:b/>
          <w:bCs/>
          <w:sz w:val="22"/>
          <w:szCs w:val="22"/>
        </w:rPr>
        <w:t xml:space="preserve">New York property.</w:t>
      </w:r>
      <w:r>
        <w:rPr>
          <w:rFonts w:ascii="Times New Roman" w:cs="Times New Roman" w:eastAsia="Times New Roman" w:hAnsi="Times New Roman"/>
          <w:sz w:val="22"/>
          <w:szCs w:val="22"/>
        </w:rPr>
        <w:t xml:space="preserve"> Identify rent regulation, Good Cause Eviction coverage and exemptions, lease terms, the municipality and the ground being pursued. For a covered substantial obligation under Real Property Law §216(1)(b), examine the separate ten-day requirement measured from receipt of the specified written notice. Nuisance is a different ground. Rent-regulated units have their own predicate notice rules. RPAPL §753(4) concerns a court’s 30-day stay of a warrant after a lease-breach proceeding, not a statewide ten-day notice to start one.</w:t>
      </w:r>
    </w:p>
    <w:p>
      <w:pPr>
        <w:keepNext w:val="false"/>
        <w:keepLines w:val="false"/>
        <w:spacing w:after="200" w:line="320"/>
        <w:jc w:val="both"/>
      </w:pPr>
      <w:r>
        <w:rPr>
          <w:rFonts w:ascii="Times New Roman" w:cs="Times New Roman" w:eastAsia="Times New Roman" w:hAnsi="Times New Roman"/>
          <w:sz w:val="22"/>
          <w:szCs w:val="22"/>
        </w:rPr>
        <w:t xml:space="preserve">New York statutory grounds</w:t>
      </w:r>
      <w:r>
        <w:rPr>
          <w:rFonts w:ascii="Times New Roman" w:cs="Times New Roman" w:eastAsia="Times New Roman" w:hAnsi="Times New Roman"/>
          <w:sz w:val="22"/>
          <w:szCs w:val="22"/>
        </w:rPr>
        <w:t xml:space="preserve"> · </w:t>
      </w:r>
      <w:r>
        <w:rPr>
          <w:rFonts w:ascii="Times New Roman" w:cs="Times New Roman" w:eastAsia="Times New Roman" w:hAnsi="Times New Roman"/>
          <w:sz w:val="22"/>
          <w:szCs w:val="22"/>
        </w:rPr>
        <w:t xml:space="preserve">Rent-regulated eviction guidance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Landlord To Tenant Noise Complaint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423C3669441719FE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Landlord To Tenant Noise Complaint Letter</dc:title>
  <dc:creator>Document.com</dc:creator>
  <dc:description>Document.com render • token:423C3669441719FE</dc:description>
  <cp:lastModifiedBy>Un-named</cp:lastModifiedBy>
  <cp:revision>1</cp:revision>
  <dcterms:created xsi:type="dcterms:W3CDTF">2026-11-03T21:50:50.921Z</dcterms:created>
  <dcterms:modified xsi:type="dcterms:W3CDTF">2026-11-03T21:50:50.921Z</dcterms:modified>
  <dc:subject>dc_token:423C3669441719FE</dc:subject>
  <cp:keywords>dc_token:423C3669441719FE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423C3669441719FE</vt:lpwstr>
  </property>
  <property fmtid="{D5CDD505-2E9C-101B-9397-08002B2CF9AE}" pid="3" name="dc_generator">
    <vt:lpwstr>Document.com</vt:lpwstr>
  </property>
  <property fmtid="{D5CDD505-2E9C-101B-9397-08002B2CF9AE}" pid="4" name="dc_generated_at">
    <vt:lpwstr>2026-11-03T21:50:50.927Z</vt:lpwstr>
  </property>
</Properties>
</file>