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Property notice preparation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Internal worksheet – do not serve on the resident.</w:t>
      </w:r>
    </w:p>
    <w:p>
      <w:pPr>
        <w:keepNext w:val="false"/>
        <w:keepLines w:val="false"/>
        <w:spacing w:after="200" w:line="320"/>
        <w:jc w:val="both"/>
      </w:pPr>
      <w:r>
        <w:rPr>
          <w:rFonts w:ascii="Times New Roman" w:cs="Times New Roman" w:eastAsia="Times New Roman" w:hAnsi="Times New Roman"/>
          <w:sz w:val="22"/>
          <w:szCs w:val="22"/>
        </w:rPr>
        <w:t xml:space="preserve">Property jurisdiction: Orlando, FL. Prepared for Casey Example on October 8, 2026.</w:t>
      </w:r>
    </w:p>
    <w:p>
      <w:pPr>
        <w:keepNext w:val="false"/>
        <w:keepLines w:val="false"/>
        <w:spacing w:after="200" w:line="320"/>
        <w:jc w:val="both"/>
      </w:pPr>
      <w:r>
        <w:rPr>
          <w:rFonts w:ascii="Times New Roman" w:cs="Times New Roman" w:eastAsia="Times New Roman" w:hAnsi="Times New Roman"/>
          <w:b/>
          <w:bCs/>
          <w:sz w:val="22"/>
          <w:szCs w:val="22"/>
        </w:rPr>
        <w:t xml:space="preserve">Intended next step:</w:t>
      </w:r>
      <w:r>
        <w:rPr>
          <w:rFonts w:ascii="Times New Roman" w:cs="Times New Roman" w:eastAsia="Times New Roman" w:hAnsi="Times New Roman"/>
          <w:sz w:val="22"/>
          <w:szCs w:val="22"/>
        </w:rPr>
        <w:t xml:space="preserve"> Review whether the conduct is an actionable, curable breach and identify the correct notice to give an opportunity to correct it.</w:t>
      </w:r>
    </w:p>
    <w:p>
      <w:pPr>
        <w:keepNext/>
        <w:spacing w:after="120" w:before="300"/>
        <w:jc w:val="left"/>
      </w:pPr>
      <w:r>
        <w:rPr>
          <w:rFonts w:ascii="Times New Roman" w:cs="Times New Roman" w:eastAsia="Times New Roman" w:hAnsi="Times New Roman"/>
          <w:b/>
          <w:bCs/>
          <w:sz w:val="24"/>
          <w:szCs w:val="24"/>
        </w:rPr>
        <w:t xml:space="preserve">Incident record</w:t>
      </w:r>
    </w:p>
    <w:p>
      <w:pPr>
        <w:keepNext w:val="false"/>
        <w:keepLines w:val="false"/>
        <w:spacing w:after="200" w:line="320"/>
        <w:jc w:val="both"/>
      </w:pPr>
      <w:r>
        <w:rPr>
          <w:rFonts w:ascii="Times New Roman" w:cs="Times New Roman" w:eastAsia="Times New Roman" w:hAnsi="Times New Roman"/>
          <w:sz w:val="22"/>
          <w:szCs w:val="22"/>
        </w:rPr>
        <w:t xml:space="preserve">Reported occurrence from October 6, 2026 through October 6, 2026. Time or frequency: 8 p.m. to 8:15 p.m. on one occasion.</w:t>
      </w:r>
    </w:p>
    <w:p>
      <w:pPr>
        <w:keepNext w:val="false"/>
        <w:keepLines w:val="false"/>
        <w:spacing w:after="200" w:line="320"/>
        <w:jc w:val="both"/>
      </w:pPr>
      <w:r>
        <w:rPr>
          <w:rFonts w:ascii="Times New Roman" w:cs="Times New Roman" w:eastAsia="Times New Roman" w:hAnsi="Times New Roman"/>
          <w:sz w:val="22"/>
          <w:szCs w:val="22"/>
        </w:rPr>
        <w:t xml:space="preserve">One reported incident of music heard near the property. Its source has not been confirmed.</w:t>
      </w:r>
    </w:p>
    <w:p>
      <w:pPr>
        <w:keepNext w:val="false"/>
        <w:keepLines w:val="false"/>
        <w:spacing w:after="200" w:line="320"/>
        <w:jc w:val="both"/>
      </w:pPr>
      <w:r>
        <w:rPr>
          <w:rFonts w:ascii="Times New Roman" w:cs="Times New Roman" w:eastAsia="Times New Roman" w:hAnsi="Times New Roman"/>
          <w:sz w:val="22"/>
          <w:szCs w:val="22"/>
        </w:rPr>
        <w:t xml:space="preserve">Reported location: 29 Pine Street.</w:t>
      </w:r>
    </w:p>
    <w:p>
      <w:pPr>
        <w:keepNext/>
        <w:spacing w:after="120" w:before="300"/>
        <w:jc w:val="left"/>
      </w:pPr>
      <w:r>
        <w:rPr>
          <w:rFonts w:ascii="Times New Roman" w:cs="Times New Roman" w:eastAsia="Times New Roman" w:hAnsi="Times New Roman"/>
          <w:b/>
          <w:bCs/>
          <w:sz w:val="24"/>
          <w:szCs w:val="24"/>
        </w:rPr>
        <w:t xml:space="preserve">Before preparing or serving a formal notice</w:t>
      </w:r>
    </w:p>
    <w:p>
      <w:pPr>
        <w:keepNext w:val="false"/>
        <w:keepLines w:val="false"/>
        <w:spacing w:after="200" w:line="320"/>
        <w:jc w:val="both"/>
      </w:pPr>
      <w:r>
        <w:rPr>
          <w:rFonts w:ascii="Times New Roman" w:cs="Times New Roman" w:eastAsia="Times New Roman" w:hAnsi="Times New Roman"/>
          <w:sz w:val="22"/>
          <w:szCs w:val="22"/>
        </w:rPr>
        <w:t xml:space="preserve">Confirm who has authority, the premises and occupants, residential or commercial status, the precise lease ground, whether the breach can be corrected, lawful service, and any local, subsidized-housing or other protection. Keep the original evidence and distinguish personal observations from reports. Check for any accommodation obligations before deciding on enforcement. No service, cure deadline, termination or possession demand has been made by producing this worksheet.</w:t>
      </w:r>
    </w:p>
    <w:p>
      <w:pPr>
        <w:keepNext w:val="false"/>
        <w:keepLines w:val="false"/>
        <w:spacing w:after="200" w:line="320"/>
        <w:jc w:val="both"/>
      </w:pPr>
      <w:r>
        <w:rPr>
          <w:rFonts w:ascii="Times New Roman" w:cs="Times New Roman" w:eastAsia="Times New Roman" w:hAnsi="Times New Roman"/>
          <w:b/>
          <w:bCs/>
          <w:sz w:val="22"/>
          <w:szCs w:val="22"/>
        </w:rPr>
        <w:t xml:space="preserve">Florida property.</w:t>
      </w:r>
      <w:r>
        <w:rPr>
          <w:rFonts w:ascii="Times New Roman" w:cs="Times New Roman" w:eastAsia="Times New Roman" w:hAnsi="Times New Roman"/>
          <w:sz w:val="22"/>
          <w:szCs w:val="22"/>
        </w:rPr>
        <w:t xml:space="preserve"> Under §83.56(2), an isolated remediable noncompliance can require a written seven-day opportunity to correct it. Continued or repeated unreasonable disturbances and other specified grounds may follow a different seven-day termination process. Identify the actual conduct, any prior written warning, its delivery, and the applicable 12-month rules. A new disturbance does not automatically terminate a tenancy. Check §83.56(4) and (5) on delivery and waiver, and §83.505 for an agreed electronic delivery method. Recovery of possession can require a separate court action under §83.59.</w:t>
      </w:r>
    </w:p>
    <w:p>
      <w:pPr>
        <w:keepNext w:val="false"/>
        <w:keepLines w:val="false"/>
        <w:spacing w:after="200" w:line="320"/>
        <w:jc w:val="both"/>
      </w:pPr>
      <w:r>
        <w:rPr>
          <w:rFonts w:ascii="Times New Roman" w:cs="Times New Roman" w:eastAsia="Times New Roman" w:hAnsi="Times New Roman"/>
          <w:sz w:val="22"/>
          <w:szCs w:val="22"/>
        </w:rPr>
        <w:t xml:space="preserve">Florida Statutes §83.56</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Landlord To Tenant Noise Complaint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B11A72738A27F3F8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To Tenant Noise Complaint Letter</dc:title>
  <dc:creator>Document.com</dc:creator>
  <dc:description>Document.com render • token:B11A72738A27F3F8</dc:description>
  <cp:lastModifiedBy>Un-named</cp:lastModifiedBy>
  <cp:revision>1</cp:revision>
  <dcterms:created xsi:type="dcterms:W3CDTF">2026-11-03T21:50:58.371Z</dcterms:created>
  <dcterms:modified xsi:type="dcterms:W3CDTF">2026-11-03T21:50:58.371Z</dcterms:modified>
  <dc:subject>dc_token:B11A72738A27F3F8</dc:subject>
  <cp:keywords>dc_token:B11A72738A27F3F8</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B11A72738A27F3F8</vt:lpwstr>
  </property>
  <property fmtid="{D5CDD505-2E9C-101B-9397-08002B2CF9AE}" pid="3" name="dc_generator">
    <vt:lpwstr>Document.com</vt:lpwstr>
  </property>
  <property fmtid="{D5CDD505-2E9C-101B-9397-08002B2CF9AE}" pid="4" name="dc_generated_at">
    <vt:lpwstr>2026-11-03T21:50:58.377Z</vt:lpwstr>
  </property>
</Properties>
</file>