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Property notice preparation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Internal worksheet – do not serve on the resident.</w:t>
      </w:r>
    </w:p>
    <w:p>
      <w:pPr>
        <w:keepNext w:val="false"/>
        <w:keepLines w:val="false"/>
        <w:spacing w:after="200" w:line="320"/>
        <w:jc w:val="both"/>
      </w:pPr>
      <w:r>
        <w:rPr>
          <w:rFonts w:ascii="Times New Roman" w:cs="Times New Roman" w:eastAsia="Times New Roman" w:hAnsi="Times New Roman"/>
          <w:sz w:val="22"/>
          <w:szCs w:val="22"/>
        </w:rPr>
        <w:t xml:space="preserve">Property jurisdiction: Sacramento, CA. Prepared for Casey Example on October 8, 2026.</w:t>
      </w:r>
    </w:p>
    <w:p>
      <w:pPr>
        <w:keepNext w:val="false"/>
        <w:keepLines w:val="false"/>
        <w:spacing w:after="200" w:line="320"/>
        <w:jc w:val="both"/>
      </w:pPr>
      <w:r>
        <w:rPr>
          <w:rFonts w:ascii="Times New Roman" w:cs="Times New Roman" w:eastAsia="Times New Roman" w:hAnsi="Times New Roman"/>
          <w:b/>
          <w:bCs/>
          <w:sz w:val="22"/>
          <w:szCs w:val="22"/>
        </w:rPr>
        <w:t xml:space="preserve">Intended next step:</w:t>
      </w:r>
      <w:r>
        <w:rPr>
          <w:rFonts w:ascii="Times New Roman" w:cs="Times New Roman" w:eastAsia="Times New Roman" w:hAnsi="Times New Roman"/>
          <w:sz w:val="22"/>
          <w:szCs w:val="22"/>
        </w:rPr>
        <w:t xml:space="preserve"> Review whether the tenancy can be terminated on the stated grounds and what notices or judicial proceedings must come first.</w:t>
      </w:r>
    </w:p>
    <w:p>
      <w:pPr>
        <w:keepNext/>
        <w:spacing w:after="120" w:before="300"/>
        <w:jc w:val="left"/>
      </w:pPr>
      <w:r>
        <w:rPr>
          <w:rFonts w:ascii="Times New Roman" w:cs="Times New Roman" w:eastAsia="Times New Roman" w:hAnsi="Times New Roman"/>
          <w:b/>
          <w:bCs/>
          <w:sz w:val="24"/>
          <w:szCs w:val="24"/>
        </w:rPr>
        <w:t xml:space="preserve">Incident record</w:t>
      </w:r>
    </w:p>
    <w:p>
      <w:pPr>
        <w:keepNext w:val="false"/>
        <w:keepLines w:val="false"/>
        <w:spacing w:after="200" w:line="320"/>
        <w:jc w:val="both"/>
      </w:pPr>
      <w:r>
        <w:rPr>
          <w:rFonts w:ascii="Times New Roman" w:cs="Times New Roman" w:eastAsia="Times New Roman" w:hAnsi="Times New Roman"/>
          <w:sz w:val="22"/>
          <w:szCs w:val="22"/>
        </w:rPr>
        <w:t xml:space="preserve">Reported occurrence from October 6, 2026 through October 6, 2026. Time or frequency: 8 p.m. to 8:15 p.m. on one occasion.</w:t>
      </w:r>
    </w:p>
    <w:p>
      <w:pPr>
        <w:keepNext w:val="false"/>
        <w:keepLines w:val="false"/>
        <w:spacing w:after="200" w:line="320"/>
        <w:jc w:val="both"/>
      </w:pPr>
      <w:r>
        <w:rPr>
          <w:rFonts w:ascii="Times New Roman" w:cs="Times New Roman" w:eastAsia="Times New Roman" w:hAnsi="Times New Roman"/>
          <w:sz w:val="22"/>
          <w:szCs w:val="22"/>
        </w:rPr>
        <w:t xml:space="preserve">One reported incident of music heard near the property. Its source has not been confirmed.</w:t>
      </w:r>
    </w:p>
    <w:p>
      <w:pPr>
        <w:keepNext w:val="false"/>
        <w:keepLines w:val="false"/>
        <w:spacing w:after="200" w:line="320"/>
        <w:jc w:val="both"/>
      </w:pPr>
      <w:r>
        <w:rPr>
          <w:rFonts w:ascii="Times New Roman" w:cs="Times New Roman" w:eastAsia="Times New Roman" w:hAnsi="Times New Roman"/>
          <w:sz w:val="22"/>
          <w:szCs w:val="22"/>
        </w:rPr>
        <w:t xml:space="preserve">Reported location: 29 Pine Street.</w:t>
      </w:r>
    </w:p>
    <w:p>
      <w:pPr>
        <w:keepNext/>
        <w:spacing w:after="120" w:before="300"/>
        <w:jc w:val="left"/>
      </w:pPr>
      <w:r>
        <w:rPr>
          <w:rFonts w:ascii="Times New Roman" w:cs="Times New Roman" w:eastAsia="Times New Roman" w:hAnsi="Times New Roman"/>
          <w:b/>
          <w:bCs/>
          <w:sz w:val="24"/>
          <w:szCs w:val="24"/>
        </w:rPr>
        <w:t xml:space="preserve">Before preparing or serving a formal notice</w:t>
      </w:r>
    </w:p>
    <w:p>
      <w:pPr>
        <w:keepNext w:val="false"/>
        <w:keepLines w:val="false"/>
        <w:spacing w:after="200" w:line="320"/>
        <w:jc w:val="both"/>
      </w:pPr>
      <w:r>
        <w:rPr>
          <w:rFonts w:ascii="Times New Roman" w:cs="Times New Roman" w:eastAsia="Times New Roman" w:hAnsi="Times New Roman"/>
          <w:sz w:val="22"/>
          <w:szCs w:val="22"/>
        </w:rPr>
        <w:t xml:space="preserve">Confirm who has authority, the premises and occupants, residential or commercial status, the precise lease ground, whether the breach can be corrected, lawful service, and any local, subsidized-housing or other protection. Keep the original evidence and distinguish personal observations from reports. Check for any accommodation obligations before deciding on enforcement. No service, cure deadline, termination or possession demand has been made by producing this worksheet.</w:t>
      </w:r>
    </w:p>
    <w:p>
      <w:pPr>
        <w:keepNext w:val="false"/>
        <w:keepLines w:val="false"/>
        <w:spacing w:after="200" w:line="320"/>
        <w:jc w:val="both"/>
      </w:pPr>
      <w:r>
        <w:rPr>
          <w:rFonts w:ascii="Times New Roman" w:cs="Times New Roman" w:eastAsia="Times New Roman" w:hAnsi="Times New Roman"/>
          <w:b/>
          <w:bCs/>
          <w:sz w:val="22"/>
          <w:szCs w:val="22"/>
        </w:rPr>
        <w:t xml:space="preserve">California property.</w:t>
      </w:r>
      <w:r>
        <w:rPr>
          <w:rFonts w:ascii="Times New Roman" w:cs="Times New Roman" w:eastAsia="Times New Roman" w:hAnsi="Times New Roman"/>
          <w:sz w:val="22"/>
          <w:szCs w:val="22"/>
        </w:rPr>
        <w:t xml:space="preserve"> For a curable covenant breach, examine Code of Civil Procedure §1161(3), the exact performance required, its possession alternative, and the three-day period excluding Saturdays, Sundays and judicial holidays. A serious nuisance may involve a different ground and counting rule under §1161(4). An ordinary noise report does not establish either ground. Review Civil Code §1946.2 for covered tenancies and any required opportunity to cure before a subsequent notice to quit. Check local protections and the service rules under §1162.</w:t>
      </w:r>
    </w:p>
    <w:p>
      <w:pPr>
        <w:keepNext w:val="false"/>
        <w:keepLines w:val="false"/>
        <w:spacing w:after="200" w:line="320"/>
        <w:jc w:val="both"/>
      </w:pPr>
      <w:r>
        <w:rPr>
          <w:rFonts w:ascii="Times New Roman" w:cs="Times New Roman" w:eastAsia="Times New Roman" w:hAnsi="Times New Roman"/>
          <w:sz w:val="22"/>
          <w:szCs w:val="22"/>
        </w:rPr>
        <w:t xml:space="preserve">California eviction notice guidance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Landlord To Tenant Noise Complaint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32EE1C04B559BC83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Landlord To Tenant Noise Complaint Letter</dc:title>
  <dc:creator>Document.com</dc:creator>
  <dc:description>Document.com render • token:32EE1C04B559BC83</dc:description>
  <cp:lastModifiedBy>Un-named</cp:lastModifiedBy>
  <cp:revision>1</cp:revision>
  <dcterms:created xsi:type="dcterms:W3CDTF">2026-11-03T21:51:04.416Z</dcterms:created>
  <dcterms:modified xsi:type="dcterms:W3CDTF">2026-11-03T21:51:04.416Z</dcterms:modified>
  <dc:subject>dc_token:32EE1C04B559BC83</dc:subject>
  <cp:keywords>dc_token:32EE1C04B559BC83</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32EE1C04B559BC83</vt:lpwstr>
  </property>
  <property fmtid="{D5CDD505-2E9C-101B-9397-08002B2CF9AE}" pid="3" name="dc_generator">
    <vt:lpwstr>Document.com</vt:lpwstr>
  </property>
  <property fmtid="{D5CDD505-2E9C-101B-9397-08002B2CF9AE}" pid="4" name="dc_generated_at">
    <vt:lpwstr>2026-11-03T21:51:04.421Z</vt:lpwstr>
  </property>
</Properties>
</file>