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Sacramento, CA.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conduct is an actionable, curable breach and identify the correct notice to give an opportunity to correct it.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California property.</w:t>
      </w:r>
      <w:r>
        <w:rPr>
          <w:rFonts w:ascii="Times New Roman" w:cs="Times New Roman" w:eastAsia="Times New Roman" w:hAnsi="Times New Roman"/>
          <w:sz w:val="22"/>
          <w:szCs w:val="22"/>
        </w:rPr>
        <w:t xml:space="preserve"> For a curable covenant breach, examine Code of Civil Procedure §1161(3), the exact performance required, its possession alternative, and the three-day period excluding Saturdays, Sundays and judicial holidays. A serious nuisance may involve a different ground and counting rule under §1161(4). An ordinary noise report does not establish either ground. Review Civil Code §1946.2 for covered tenancies and any required opportunity to cure before a subsequent notice to quit. Check local protections and the service rules under §1162.</w:t>
      </w:r>
    </w:p>
    <w:p>
      <w:pPr>
        <w:keepNext w:val="false"/>
        <w:keepLines w:val="false"/>
        <w:spacing w:after="200" w:line="320"/>
        <w:jc w:val="both"/>
      </w:pPr>
      <w:r>
        <w:rPr>
          <w:rFonts w:ascii="Times New Roman" w:cs="Times New Roman" w:eastAsia="Times New Roman" w:hAnsi="Times New Roman"/>
          <w:sz w:val="22"/>
          <w:szCs w:val="22"/>
        </w:rPr>
        <w:t xml:space="preserve">California eviction notice guidance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11DC416A1C593F2B</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token:11DC416A1C593F2B</dc:description>
  <cp:lastModifiedBy>Un-named</cp:lastModifiedBy>
  <cp:revision>1</cp:revision>
  <dcterms:created xsi:type="dcterms:W3CDTF">2026-11-03T21:51:02.897Z</dcterms:created>
  <dcterms:modified xsi:type="dcterms:W3CDTF">2026-11-03T21:51:02.897Z</dcterms:modified>
  <dc:subject>dc_token:11DC416A1C593F2B</dc:subject>
  <cp:keywords>dc_token:11DC416A1C593F2B</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11DC416A1C593F2B</vt:lpwstr>
  </property>
  <property fmtid="{D5CDD505-2E9C-101B-9397-08002B2CF9AE}" pid="3" name="dc_generator">
    <vt:lpwstr>Document.com</vt:lpwstr>
  </property>
  <property fmtid="{D5CDD505-2E9C-101B-9397-08002B2CF9AE}" pid="4" name="dc_generated_at">
    <vt:lpwstr>2026-11-03T21:51:02.903Z</vt:lpwstr>
  </property>
</Properties>
</file>