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Employer leave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review record.</w:t>
      </w:r>
      <w:r>
        <w:rPr>
          <w:rFonts w:ascii="Times New Roman" w:cs="Times New Roman" w:eastAsia="Times New Roman" w:hAnsi="Times New Roman"/>
          <w:sz w:val="22"/>
          <w:szCs w:val="22"/>
        </w:rPr>
        <w:t xml:space="preserve"> The available facts do not establish a completed leave determination consistent with the requested terms. This worksheet records facts for follow-up. It does not approve or deny leave, count time against an entitlement, or certify that a notice was delivered.</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OR.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val="false"/>
        <w:keepLines w:val="false"/>
        <w:spacing w:after="200" w:line="320"/>
        <w:jc w:val="both"/>
      </w:pPr>
      <w:r>
        <w:rPr>
          <w:rFonts w:ascii="Times New Roman" w:cs="Times New Roman" w:eastAsia="Times New Roman" w:hAnsi="Times New Roman"/>
          <w:sz w:val="22"/>
          <w:szCs w:val="22"/>
        </w:rPr>
        <w:t xml:space="preserve">Review where the employee actually reports, who assigns work and which laws govern employment, benefits and the leave period. A selected contract law or the employee’s residence does not decide those questions by itself.</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Determine Title I employer coverage separately from employee eligibility. A covered public agency or qualifying elementary or secondary school can have fewer than 50 employees. For private employers, review the 50-employee and 20-workweek tests for the current or preceding year. For the individual, consider 50 employees within 75 surface miles of the correct worksite when notice was given, creditable service months, hours and any special rule. For remote and mobile workers, identify the reporting or assignment site. Certain flight crew, federal, jointly employed and school workers need separate review. A worker can become eligible during an absence.
The initial eligibility and rights notice process generally starts when the employer learns that leave may qualify. The separate designation deadline generally starts when enough information is available. Each ordinarily allows five business days absent extenuating circumstances. A compliant equivalent can be used instead of optional DOL forms WH-381 and WH-382. Record what was actually delivered, to whom and when. For an incomplete certification, identify the deficiency and allow the applicable cure process. A pending or absent notice cannot be treated as delivered.</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Verify that health-premium terms, restoration, employee contributions and any medical certification agree with actual leave rights. A full-premium or best-efforts-only choice cannot establish compliance for a designated period. Verify the basis and notice for any return-to-work certification.
</w:t>
      </w: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Fmla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Fmla Leave of Absence Agreement</dc:title>
  <dc:creator>Document.com</dc:creator>
  <dc:description>Document.com render • token:SAMPLE</dc:description>
  <cp:lastModifiedBy>Un-named</cp:lastModifiedBy>
  <cp:revision>1</cp:revision>
  <dcterms:created xsi:type="dcterms:W3CDTF">2026-11-03T16:43:00.584Z</dcterms:created>
  <dcterms:modified xsi:type="dcterms:W3CDTF">2026-11-03T16:43:00.584Z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2026-11-03T16:43:00.590Z</vt:lpwstr>
  </property>
</Properties>
</file>