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leave agreement and determination record</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The employer records an earlier written designation for the qualifying period, based on the separate records below. The amount or applicable tracking method entered is Three workweeks, with earlier leave accounted for under the recorded method..
</w:t>
      </w:r>
      <w:r>
        <w:rPr>
          <w:rFonts w:ascii="Times New Roman" w:cs="Times New Roman" w:eastAsia="Times New Roman" w:hAnsi="Times New Roman"/>
          <w:b/>
          <w:bCs/>
          <w:sz w:val="22"/>
          <w:szCs w:val="22"/>
        </w:rPr>
        <w:t xml:space="preserve">Eligibility notice recorded as delivered:</w:t>
      </w:r>
      <w:r>
        <w:rPr>
          <w:rFonts w:ascii="Times New Roman" w:cs="Times New Roman" w:eastAsia="Times New Roman" w:hAnsi="Times New Roman"/>
          <w:sz w:val="22"/>
          <w:szCs w:val="22"/>
        </w:rPr>
        <w:t xml:space="preserve"> November 3, 2026. Eligibility determination delivered to employee in person.
</w:t>
      </w:r>
      <w:r>
        <w:rPr>
          <w:rFonts w:ascii="Times New Roman" w:cs="Times New Roman" w:eastAsia="Times New Roman" w:hAnsi="Times New Roman"/>
          <w:b/>
          <w:bCs/>
          <w:sz w:val="22"/>
          <w:szCs w:val="22"/>
        </w:rPr>
        <w:t xml:space="preserve">Written rights and responsibilities recorded as delivered:</w:t>
      </w:r>
      <w:r>
        <w:rPr>
          <w:rFonts w:ascii="Times New Roman" w:cs="Times New Roman" w:eastAsia="Times New Roman" w:hAnsi="Times New Roman"/>
          <w:sz w:val="22"/>
          <w:szCs w:val="22"/>
        </w:rPr>
        <w:t xml:space="preserve"> November 3, 2026. Copy of written rights and responsibilities supplied to employee.
</w:t>
      </w:r>
      <w:r>
        <w:rPr>
          <w:rFonts w:ascii="Times New Roman" w:cs="Times New Roman" w:eastAsia="Times New Roman" w:hAnsi="Times New Roman"/>
          <w:b/>
          <w:bCs/>
          <w:sz w:val="22"/>
          <w:szCs w:val="22"/>
        </w:rPr>
        <w:t xml:space="preserve">Written designation recorded as delivered:</w:t>
      </w:r>
      <w:r>
        <w:rPr>
          <w:rFonts w:ascii="Times New Roman" w:cs="Times New Roman" w:eastAsia="Times New Roman" w:hAnsi="Times New Roman"/>
          <w:sz w:val="22"/>
          <w:szCs w:val="22"/>
        </w:rPr>
        <w:t xml:space="preserve"> November 6, 2026. Written designation with duration and terms supplied to employee.</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During designated federal leave, maintain enrolled group coverage under the same terms as continued employment. The employee remains responsible for the ordinary employee share. Apply lawful paid leave coordination under the actual plan and policy. Ordinary timely return entitles the employee to the same or an equivalent position under the Act, subject to separately established statutory conditions. This agreement does not invoke a key-employee exception or authorize a loss of coverage.</w:t>
      </w:r>
    </w:p>
    <w:p>
      <w:pPr>
        <w:keepNext/>
        <w:keepLines/>
        <w:spacing w:after="200" w:line="320"/>
        <w:jc w:val="both"/>
      </w:pP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
A material change in the expected return date should be communicated when practicable. This record does not condition return on a blanket 30-day employee notice. Separate state, local, contract, collective bargaining, accommodation and benefit protections continue as applicable.</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Employee acknowledgment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2026-11-03T16:42:55.337Z</dcterms:created>
  <dcterms:modified xsi:type="dcterms:W3CDTF">2026-11-03T16:42:55.337Z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2026-11-03T16:42:55.353Z</vt:lpwstr>
  </property>
</Properties>
</file>