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Pregnancy-related limitations</w:t>
      </w:r>
    </w:p>
    <w:p>
      <w:pPr>
        <w:keepNext w:val="false"/>
        <w:keepLines w:val="false"/>
        <w:spacing w:after="200" w:line="320"/>
        <w:jc w:val="both"/>
      </w:pPr>
      <w:r>
        <w:rPr>
          <w:rFonts w:ascii="Times New Roman" w:cs="Times New Roman" w:eastAsia="Times New Roman" w:hAnsi="Times New Roman"/>
          <w:sz w:val="22"/>
          <w:szCs w:val="22"/>
        </w:rPr>
        <w:t xml:space="preserve">The worker has identified a limitation related to pregnancy, childbirth or a related medical condition. The limitation need not be an ADA disability. Consider an effective adjustment that allows the worker to remain at work, including temporary suspension of a function where the statutory conditions are met. Leave cannot be required where another reasonable accommodation can be provided. For predictable or obvious adjustments, already sufficient information, specified lactation needs or a comparable absence that would not normally require proof, do not demand a medical note where the PWFA documentation conditions preclude one.</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2026-11-03T16:52:29.447Z</dcterms:created>
  <dcterms:modified xsi:type="dcterms:W3CDTF">2026-11-03T16:52:29.447Z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2026-11-03T16:52:29.452Z</vt:lpwstr>
  </property>
</Properties>
</file>