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Employment leave agreement and determination record</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Northbay Software, Inc., 101 Market Street, San Francisco, CA 94105.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Rivera, 2200 Fillmore Street, Apt 4B, San Francisco, CA 94115.
</w:t>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Senior Software Engineer. </w:t>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AZ. </w:t>
      </w:r>
      <w:r>
        <w:rPr>
          <w:rFonts w:ascii="Times New Roman" w:cs="Times New Roman" w:eastAsia="Times New Roman" w:hAnsi="Times New Roman"/>
          <w:b/>
          <w:bCs/>
          <w:sz w:val="22"/>
          <w:szCs w:val="22"/>
        </w:rPr>
        <w:t xml:space="preserve">Other selected governing location:</w:t>
      </w:r>
      <w:r>
        <w:rPr>
          <w:rFonts w:ascii="Times New Roman" w:cs="Times New Roman" w:eastAsia="Times New Roman" w:hAnsi="Times New Roman"/>
          <w:sz w:val="22"/>
          <w:szCs w:val="22"/>
        </w:rPr>
        <w:t xml:space="preserve"> NY.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12, 2026. </w:t>
      </w:r>
      <w:r>
        <w:rPr>
          <w:rFonts w:ascii="Times New Roman" w:cs="Times New Roman" w:eastAsia="Times New Roman" w:hAnsi="Times New Roman"/>
          <w:b/>
          <w:bCs/>
          <w:sz w:val="22"/>
          <w:szCs w:val="22"/>
        </w:rPr>
        <w:t xml:space="preserve">Leave period reported:</w:t>
      </w:r>
      <w:r>
        <w:rPr>
          <w:rFonts w:ascii="Times New Roman" w:cs="Times New Roman" w:eastAsia="Times New Roman" w:hAnsi="Times New Roman"/>
          <w:sz w:val="22"/>
          <w:szCs w:val="22"/>
        </w:rPr>
        <w:t xml:space="preserve"> November 23, 2026 to December 14, 2026. </w:t>
      </w:r>
      <w:r>
        <w:rPr>
          <w:rFonts w:ascii="Times New Roman" w:cs="Times New Roman" w:eastAsia="Times New Roman" w:hAnsi="Times New Roman"/>
          <w:b/>
          <w:bCs/>
          <w:sz w:val="22"/>
          <w:szCs w:val="22"/>
        </w:rPr>
        <w:t xml:space="preserve">Reported purpose:</w:t>
      </w:r>
      <w:r>
        <w:rPr>
          <w:rFonts w:ascii="Times New Roman" w:cs="Times New Roman" w:eastAsia="Times New Roman" w:hAnsi="Times New Roman"/>
          <w:sz w:val="22"/>
          <w:szCs w:val="22"/>
        </w:rPr>
        <w:t xml:space="preserve"> Employee requires extended leave for treatment and recovery from a serious health condition requiring ongoing medical supervision.</w:t>
      </w:r>
    </w:p>
    <w:p>
      <w:pPr>
        <w:keepNext w:val="false"/>
        <w:keepLines w:val="false"/>
        <w:spacing w:after="200" w:line="320"/>
        <w:jc w:val="both"/>
      </w:pPr>
      <w:r>
        <w:rPr>
          <w:rFonts w:ascii="Times New Roman" w:cs="Times New Roman" w:eastAsia="Times New Roman" w:hAnsi="Times New Roman"/>
          <w:sz w:val="22"/>
          <w:szCs w:val="22"/>
        </w:rPr>
        <w:t xml:space="preserve">Review where the employee actually reports, who assigns work and which laws govern employment, benefits and the leave period. A selected contract law or the employee’s residence does not decide those questions by itself.</w:t>
      </w:r>
    </w:p>
    <w:p>
      <w:pPr>
        <w:keepNext/>
        <w:spacing w:after="120" w:before="300"/>
        <w:jc w:val="left"/>
      </w:pPr>
      <w:r>
        <w:rPr>
          <w:rFonts w:ascii="Times New Roman" w:cs="Times New Roman" w:eastAsia="Times New Roman" w:hAnsi="Times New Roman"/>
          <w:b/>
          <w:bCs/>
          <w:sz w:val="24"/>
          <w:szCs w:val="24"/>
        </w:rPr>
        <w:t xml:space="preserve">Federal decision and notices</w:t>
      </w:r>
    </w:p>
    <w:p>
      <w:pPr>
        <w:keepNext w:val="false"/>
        <w:keepLines w:val="false"/>
        <w:spacing w:after="200" w:line="320"/>
        <w:jc w:val="both"/>
      </w:pPr>
      <w:r>
        <w:rPr>
          <w:rFonts w:ascii="Times New Roman" w:cs="Times New Roman" w:eastAsia="Times New Roman" w:hAnsi="Times New Roman"/>
          <w:sz w:val="22"/>
          <w:szCs w:val="22"/>
        </w:rPr>
        <w:t xml:space="preserve">The employer records an earlier written designation for the qualifying period, based on the separate records below. The amount or applicable tracking method entered is Three workweeks, with earlier leave accounted for under the recorded method..
</w:t>
      </w:r>
      <w:r>
        <w:rPr>
          <w:rFonts w:ascii="Times New Roman" w:cs="Times New Roman" w:eastAsia="Times New Roman" w:hAnsi="Times New Roman"/>
          <w:b/>
          <w:bCs/>
          <w:sz w:val="22"/>
          <w:szCs w:val="22"/>
        </w:rPr>
        <w:t xml:space="preserve">Eligibility notice recorded as delivered:</w:t>
      </w:r>
      <w:r>
        <w:rPr>
          <w:rFonts w:ascii="Times New Roman" w:cs="Times New Roman" w:eastAsia="Times New Roman" w:hAnsi="Times New Roman"/>
          <w:sz w:val="22"/>
          <w:szCs w:val="22"/>
        </w:rPr>
        <w:t xml:space="preserve"> November 3, 2026. Eligibility determination delivered to employee in person.
</w:t>
      </w:r>
      <w:r>
        <w:rPr>
          <w:rFonts w:ascii="Times New Roman" w:cs="Times New Roman" w:eastAsia="Times New Roman" w:hAnsi="Times New Roman"/>
          <w:b/>
          <w:bCs/>
          <w:sz w:val="22"/>
          <w:szCs w:val="22"/>
        </w:rPr>
        <w:t xml:space="preserve">Written rights and responsibilities recorded as delivered:</w:t>
      </w:r>
      <w:r>
        <w:rPr>
          <w:rFonts w:ascii="Times New Roman" w:cs="Times New Roman" w:eastAsia="Times New Roman" w:hAnsi="Times New Roman"/>
          <w:sz w:val="22"/>
          <w:szCs w:val="22"/>
        </w:rPr>
        <w:t xml:space="preserve"> November 3, 2026. Copy of written rights and responsibilities supplied to employee.
</w:t>
      </w:r>
      <w:r>
        <w:rPr>
          <w:rFonts w:ascii="Times New Roman" w:cs="Times New Roman" w:eastAsia="Times New Roman" w:hAnsi="Times New Roman"/>
          <w:b/>
          <w:bCs/>
          <w:sz w:val="22"/>
          <w:szCs w:val="22"/>
        </w:rPr>
        <w:t xml:space="preserve">Written designation recorded as delivered:</w:t>
      </w:r>
      <w:r>
        <w:rPr>
          <w:rFonts w:ascii="Times New Roman" w:cs="Times New Roman" w:eastAsia="Times New Roman" w:hAnsi="Times New Roman"/>
          <w:sz w:val="22"/>
          <w:szCs w:val="22"/>
        </w:rPr>
        <w:t xml:space="preserve"> November 6, 2026. Written designation with duration and terms supplied to employee.</w:t>
      </w:r>
    </w:p>
    <w:p>
      <w:pPr>
        <w:keepNext/>
        <w:spacing w:after="120" w:before="300"/>
        <w:jc w:val="left"/>
      </w:pPr>
      <w:r>
        <w:rPr>
          <w:rFonts w:ascii="Times New Roman" w:cs="Times New Roman" w:eastAsia="Times New Roman" w:hAnsi="Times New Roman"/>
          <w:b/>
          <w:bCs/>
          <w:sz w:val="24"/>
          <w:szCs w:val="24"/>
        </w:rPr>
        <w:t xml:space="preserve">Pay, health benefits and return</w:t>
      </w:r>
    </w:p>
    <w:p>
      <w:pPr>
        <w:keepNext w:val="false"/>
        <w:keepLines w:val="false"/>
        <w:spacing w:after="200" w:line="320"/>
        <w:jc w:val="both"/>
      </w:pPr>
      <w:r>
        <w:rPr>
          <w:rFonts w:ascii="Times New Roman" w:cs="Times New Roman" w:eastAsia="Times New Roman" w:hAnsi="Times New Roman"/>
          <w:sz w:val="22"/>
          <w:szCs w:val="22"/>
        </w:rPr>
        <w:t xml:space="preserve">During designated federal leave, maintain enrolled group coverage under the same terms as continued employment. The employee remains responsible for the ordinary employee share. Apply lawful paid leave coordination under the actual plan and policy. Ordinary timely return entitles the employee to the same or an equivalent position under the Act, subject to separately established statutory conditions. This agreement does not invoke a key-employee exception or authorize a loss of coverage.</w:t>
      </w:r>
    </w:p>
    <w:p>
      <w:pPr>
        <w:keepNext/>
        <w:keepLines/>
        <w:spacing w:after="200" w:line="320"/>
        <w:jc w:val="both"/>
      </w:pPr>
      <w:r>
        <w:rPr>
          <w:rFonts w:ascii="Times New Roman" w:cs="Times New Roman" w:eastAsia="Times New Roman" w:hAnsi="Times New Roman"/>
          <w:b/>
          <w:bCs/>
          <w:sz w:val="22"/>
          <w:szCs w:val="22"/>
        </w:rPr>
        <w:t xml:space="preserve">Recorded pay arrangement:</w:t>
      </w:r>
      <w:r>
        <w:rPr>
          <w:rFonts w:ascii="Times New Roman" w:cs="Times New Roman" w:eastAsia="Times New Roman" w:hAnsi="Times New Roman"/>
          <w:sz w:val="22"/>
          <w:szCs w:val="22"/>
        </w:rPr>
        <w:t xml:space="preserve"> Pto Concurrent. </w:t>
      </w:r>
      <w:r>
        <w:rPr>
          <w:rFonts w:ascii="Times New Roman" w:cs="Times New Roman" w:eastAsia="Times New Roman" w:hAnsi="Times New Roman"/>
          <w:b/>
          <w:bCs/>
          <w:sz w:val="22"/>
          <w:szCs w:val="22"/>
        </w:rPr>
        <w:t xml:space="preserve">Worksite determination:</w:t>
      </w:r>
      <w:r>
        <w:rPr>
          <w:rFonts w:ascii="Times New Roman" w:cs="Times New Roman" w:eastAsia="Times New Roman" w:hAnsi="Times New Roman"/>
          <w:sz w:val="22"/>
          <w:szCs w:val="22"/>
        </w:rPr>
        <w:t xml:space="preserve"> Employee reports to the directing office; verified employee count by shortest surface route.
</w:t>
      </w:r>
      <w:r>
        <w:rPr>
          <w:rFonts w:ascii="Times New Roman" w:cs="Times New Roman" w:eastAsia="Times New Roman" w:hAnsi="Times New Roman"/>
          <w:b/>
          <w:bCs/>
          <w:sz w:val="22"/>
          <w:szCs w:val="22"/>
        </w:rPr>
        <w:t xml:space="preserve">Independent review and agreed operational terms:</w:t>
      </w:r>
      <w:r>
        <w:rPr>
          <w:rFonts w:ascii="Times New Roman" w:cs="Times New Roman" w:eastAsia="Times New Roman" w:hAnsi="Times New Roman"/>
          <w:sz w:val="22"/>
          <w:szCs w:val="22"/>
        </w:rPr>
        <w:t xml:space="preserve"> Payroll share, restoration, prior service and state leave requirements independently reviewed.
A material change in the expected return date should be communicated when practicable. This record does not condition return on a blanket 30-day employee notice. Separate state, local, contract, collective bargaining, accommodation and benefit protections continue as applicable.</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b/>
          <w:bCs/>
          <w:sz w:val="22"/>
          <w:szCs w:val="22"/>
        </w:rPr>
        <w:t xml:space="preserve">Employee acknowledgment</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Fmla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Fmla Leave of Absence Agreement</dc:title>
  <dc:creator>Document.com</dc:creator>
  <dc:description>Document.com render • token:SAMPLE</dc:description>
  <cp:lastModifiedBy>Un-named</cp:lastModifiedBy>
  <cp:revision>1</cp:revision>
  <dcterms:created xsi:type="dcterms:W3CDTF">2026-11-03T16:42:48.243Z</dcterms:created>
  <dcterms:modified xsi:type="dcterms:W3CDTF">2026-11-03T16:42:48.243Z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2026-11-03T16:42:48.269Z</vt:lpwstr>
  </property>
</Properties>
</file>