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Employer leave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review record.</w:t>
      </w:r>
      <w:r>
        <w:rPr>
          <w:rFonts w:ascii="Times New Roman" w:cs="Times New Roman" w:eastAsia="Times New Roman" w:hAnsi="Times New Roman"/>
          <w:sz w:val="22"/>
          <w:szCs w:val="22"/>
        </w:rPr>
        <w:t xml:space="preserve"> The available facts do not establish a completed leave determination consistent with the requested terms. This worksheet records facts for follow-up. It does not approve or deny leave, count time against an entitlement, or certify that a notice was delivered.</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Determine Title I employer coverage separately from employee eligibility. A covered public agency or qualifying elementary or secondary school can have fewer than 50 employees. For private employers, review the 50-employee and 20-workweek tests for the current or preceding year. For the individual, consider 50 employees within 75 surface miles of the correct worksite when notice was given, creditable service months, hours and any special rule. For remote and mobile workers, identify the reporting or assignment site. Certain flight crew, federal, jointly employed and school workers need separate review. A worker can become eligible during an absence.
The initial eligibility and rights notice process generally starts when the employer learns that leave may qualify. The separate designation deadline generally starts when enough information is available. Each ordinarily allows five business days absent extenuating circumstances. A compliant equivalent can be used instead of optional DOL forms WH-381 and WH-382. Record what was actually delivered, to whom and when. For an incomplete certification, identify the deficiency and allow the applicable cure process. A pending or absent notice cannot be treated as delivered.</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Verify that health-premium terms, restoration, employee contributions and any medical certification agree with actual leave rights. A full-premium or best-efforts-only choice cannot establish compliance for a designated period. Verify the basis and notice for any return-to-work certification.
</w:t>
      </w: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2026-11-03T16:42:57.376Z</dcterms:created>
  <dcterms:modified xsi:type="dcterms:W3CDTF">2026-11-03T16:42:57.376Z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2026-11-03T16:42:57.384Z</vt:lpwstr>
  </property>
</Properties>
</file>