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Employment leave agreement and determination record</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The employer separately authorized contractual leave for this period. The recorded basis and prior determination are: Documented independent determination for approved period and other leave rights.. No time is charged to federal FMLA leave by this record. The employer must reassess if eligibility or circumstances change during the period.</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keepLines/>
        <w:spacing w:after="200" w:line="320"/>
        <w:jc w:val="both"/>
      </w:pPr>
      <w:r>
        <w:rPr>
          <w:rFonts w:ascii="Times New Roman" w:cs="Times New Roman" w:eastAsia="Times New Roman" w:hAnsi="Times New Roman"/>
          <w:sz w:val="22"/>
          <w:szCs w:val="22"/>
        </w:rPr>
        <w:t xml:space="preserve">For the approved contractual period, enrolled group coverage and restoration use the reviewed agreement terms below. Any independent statutory protection continues to apply.
</w:t>
      </w: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
A material change in the expected return date should be communicated when practicable. This record does not condition return on a blanket 30-day employee notice. Separate state, local, contract, collective bargaining, accommodation and benefit protections continue as applicable.</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Employee acknowledgment</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2026-11-03T16:43:03.867Z</dcterms:created>
  <dcterms:modified xsi:type="dcterms:W3CDTF">2026-11-03T16:43:03.867Z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2026-11-03T16:43:03.877Z</vt:lpwstr>
  </property>
</Properties>
</file>