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As a result of a sustained revenue contraction caused by the loss of our largest enterprise client, we have taken measures to secure the financial stability of the business.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Your change of employment status to a "furloughed" employee will be effective from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and will continue </w:t>
      </w:r>
      <w:r>
        <w:rPr>
          <w:rFonts w:ascii="Times New Roman" w:cs="Times New Roman" w:eastAsia="Times New Roman" w:hAnsi="Times New Roman"/>
          <w:b/>
          <w:bCs/>
          <w:sz w:val="22"/>
          <w:szCs w:val="22"/>
        </w:rPr>
        <w:t xml:space="preserve">until further notice</w:t>
      </w:r>
      <w:r>
        <w:rPr>
          <w:rFonts w:ascii="Times New Roman" w:cs="Times New Roman" w:eastAsia="Times New Roman" w:hAnsi="Times New Roman"/>
          <w:sz w:val="22"/>
          <w:szCs w:val="22"/>
        </w:rPr>
        <w:t xml:space="preserve">. At the time of writing, the length of this period of disruption is unknown.</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CA.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Priya Ramanathan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
Payroll has identified a separation or layoff for final-wage purposes. Confirm payment and applicable accrued amounts under the final-pay rule for the place of work.</w:t>
      </w:r>
    </w:p>
    <w:p>
      <w:pPr>
        <w:keepNext w:val="false"/>
        <w:keepLines w:val="false"/>
        <w:spacing w:after="200" w:line="320"/>
        <w:jc w:val="both"/>
      </w:pPr>
      <w:r>
        <w:rPr>
          <w:rFonts w:ascii="Times New Roman" w:cs="Times New Roman" w:eastAsia="Times New Roman" w:hAnsi="Times New Roman"/>
          <w:sz w:val="22"/>
          <w:szCs w:val="22"/>
        </w:rPr>
        <w:t xml:space="preserve">California generally treats a complete layoff without a specific return within the normal pay period as a discharge for final wages. Earned wages and vested vacation ordinarily become due at the layoff; specific statutory exceptions can change the timing.On an ordinary California discharge, earned wages and vested accrued vacation are generally payable immediately, subject to statutory exceptions.</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Your share of health-insurance premiums will be deducted from your final pre-furlough paycheck. Thereafter, the Company will continue to cover the employer portion and will invoice you monthly for your share.</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reports loss of active coverage on 2026-11-30. The employer identified a private plan subject to federal COBRA. A reduction of hours causing loss of coverage can be a qualifying event. An eligible qualified beneficiary generally has at least 60 days after the later of the election notice or the date coverage would otherwise be lost to elect continuation. Each qualified beneficiary has an independent election right. The employer ordinarily has 30 days after the event to notify the separate administrator. Where the plan measures continuation from a later loss of coverage, the employer’s clock can begin on that loss date. The administrator generally has 14 days after receiving the qualifying-event notice to furnish election notices.</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
The stated unemployment wage-reporting state is TX. The place-of-work wage rules in this letter still refer to CA.</w:t>
      </w:r>
    </w:p>
    <w:p>
      <w:pPr>
        <w:keepNext w:val="false"/>
        <w:keepLines w:val="false"/>
        <w:spacing w:after="200" w:line="320"/>
        <w:jc w:val="both"/>
      </w:pPr>
      <w:r>
        <w:rPr>
          <w:rFonts w:ascii="Times New Roman" w:cs="Times New Roman" w:eastAsia="Times New Roman" w:hAnsi="Times New Roman"/>
          <w:sz w:val="22"/>
          <w:szCs w:val="22"/>
        </w:rPr>
        <w:t xml:space="preserve">Texas withholds the first payable week. TWC can pay that week after benefits totaling at least twice the weekly benefit amount have been paid and the claimant either returns to full-time work or exhausts benefits. Follow TWC’s reporting instructions.</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
California WARN has separate establishment and event tests. When it applies, the 2026 notice also addresses rapid-response coordination, the local workforce board, CalFresh and required contacts. A temporary layoff may qualify even when the six-month federal definition does not. Complete any required employer, worker, local board, EDD and local-government notices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 before requiring you to return to work. We cannot predict exactly when conditions will permit recall, but we will communicate updates as they develop.</w:t>
      </w:r>
    </w:p>
    <w:p>
      <w:pPr>
        <w:keepNext w:val="false"/>
        <w:keepLines w:val="false"/>
        <w:spacing w:after="200" w:line="320"/>
        <w:jc w:val="both"/>
      </w:pPr>
      <w:r>
        <w:rPr>
          <w:rFonts w:ascii="Times New Roman" w:cs="Times New Roman" w:eastAsia="Times New Roman" w:hAnsi="Times New Roman"/>
          <w:sz w:val="22"/>
          <w:szCs w:val="22"/>
        </w:rPr>
        <w:t xml:space="preserve">Please contact Priya Ramanathan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Priya Ramanathan at hr@bayline.example / (415) 555-0142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Priya Ramanathan, Director of Human Resources</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hr@bayline.example / (415) 555-0142</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Priya Ramanathan</w:t>
      </w:r>
      <w:r>
        <w:br/>
        <w:t xml:space="preserve"/>
      </w:r>
      <w:r>
        <w:rPr>
          <w:rFonts w:ascii="Times New Roman" w:cs="Times New Roman" w:eastAsia="Times New Roman" w:hAnsi="Times New Roman"/>
          <w:sz w:val="22"/>
          <w:szCs w:val="22"/>
        </w:rPr>
        <w:t xml:space="preserve">Director of Human Resources</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Full Indefinite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Indefinite Furlough Letter</dc:title>
  <dc:creator>Document.com</dc:creator>
  <dc:description>Document.com render • token:SAMPLE</dc:description>
  <cp:lastModifiedBy>Un-named</cp:lastModifiedBy>
  <cp:revision>1</cp:revision>
  <dcterms:created xsi:type="dcterms:W3CDTF">2026-11-03T14:35:14.905Z</dcterms:created>
  <dcterms:modified xsi:type="dcterms:W3CDTF">2026-11-03T14:35:14.905Z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2026-11-03T14:35:14.911Z</vt:lpwstr>
  </property>
</Properties>
</file>