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As a result of a sustained revenue contraction caused by the loss of our largest enterprise client, we have taken measures to secure the financial stability of the business.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Your change of employment status to a "furloughed" employee will be effective from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and will continue </w:t>
      </w:r>
      <w:r>
        <w:rPr>
          <w:rFonts w:ascii="Times New Roman" w:cs="Times New Roman" w:eastAsia="Times New Roman" w:hAnsi="Times New Roman"/>
          <w:b/>
          <w:bCs/>
          <w:sz w:val="22"/>
          <w:szCs w:val="22"/>
        </w:rPr>
        <w:t xml:space="preserve">until further notice</w:t>
      </w:r>
      <w:r>
        <w:rPr>
          <w:rFonts w:ascii="Times New Roman" w:cs="Times New Roman" w:eastAsia="Times New Roman" w:hAnsi="Times New Roman"/>
          <w:sz w:val="22"/>
          <w:szCs w:val="22"/>
        </w:rPr>
        <w:t xml:space="preserve">. At the time of writing, the length of this period of disruption is unknown.</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DC.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Priya Ramanathan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Your share of health-insurance premiums will be deducted from your final pre-furlough paycheck. Thereafter, the Company will continue to cover the employer portion and will invoice you monthly for your share.</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confirms active group health coverage continues on the same terms. A change in the work schedule alone does not establish a loss of coverage. Recheck the plan if terms, dates or contributions change.</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 before requiring you to return to work. We cannot predict exactly when conditions will permit recall, but we will communicate updates as they develop.</w:t>
      </w:r>
    </w:p>
    <w:p>
      <w:pPr>
        <w:keepNext w:val="false"/>
        <w:keepLines w:val="false"/>
        <w:spacing w:after="200" w:line="320"/>
        <w:jc w:val="both"/>
      </w:pPr>
      <w:r>
        <w:rPr>
          <w:rFonts w:ascii="Times New Roman" w:cs="Times New Roman" w:eastAsia="Times New Roman" w:hAnsi="Times New Roman"/>
          <w:sz w:val="22"/>
          <w:szCs w:val="22"/>
        </w:rPr>
        <w:t xml:space="preserve">Please contact Priya Ramanathan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Priya Ramanathan at hr@bayline.example / (415) 555-0142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Priya Ramanathan, Director of Human Resources</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hr@bayline.example / (415) 555-0142</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Priya Ramanathan</w:t>
      </w:r>
      <w:r>
        <w:br/>
        <w:t xml:space="preserve"/>
      </w:r>
      <w:r>
        <w:rPr>
          <w:rFonts w:ascii="Times New Roman" w:cs="Times New Roman" w:eastAsia="Times New Roman" w:hAnsi="Times New Roman"/>
          <w:sz w:val="22"/>
          <w:szCs w:val="22"/>
        </w:rPr>
        <w:t xml:space="preserve">Director of Human Resources</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Full Indefinite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Indefinite Furlough Letter</dc:title>
  <dc:creator>Document.com</dc:creator>
  <dc:description>Document.com render • token:SAMPLE</dc:description>
  <cp:lastModifiedBy>Un-named</cp:lastModifiedBy>
  <cp:revision>1</cp:revision>
  <dcterms:created xsi:type="dcterms:W3CDTF">2026-11-03T14:34:14.736Z</dcterms:created>
  <dcterms:modified xsi:type="dcterms:W3CDTF">2026-11-03T14:34:14.736Z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2026-11-03T14:34:14.744Z</vt:lpwstr>
  </property>
</Properties>
</file>