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Due to the planned closure of our flagship store for extensive renovation, we are placing affected staff on a temporary fixed-term furlough.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Your change of employment status to a "furloughed" employee will be effective from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unless recalled earlier or extended in writing.</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DC.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Daniel Feldman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For nonexempt work, payroll will count all compensable time, including work allowed outside the schedule. Applicable minimum wage and overtime requirements continue.</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Health insurance will continue for 60 days at the current employer/employee split. On day 61, a COBRA qualifying event will occur and a COBRA election notice will be issued.</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The plan administrator confirms active group health coverage continues on the same terms. A change in the work schedule alone does not establish a loss of coverage. Recheck the plan if terms, dates or contributions change.</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10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Daniel Feldman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Daniel Feldman at dfeldman@hudsonretail.example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Daniel Feldman, Senior Vice President, People Operations</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dfeldman@hudsonretail.example</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Daniel Feldman</w:t>
      </w:r>
      <w:r>
        <w:br/>
        <w:t xml:space="preserve"/>
      </w:r>
      <w:r>
        <w:rPr>
          <w:rFonts w:ascii="Times New Roman" w:cs="Times New Roman" w:eastAsia="Times New Roman" w:hAnsi="Times New Roman"/>
          <w:sz w:val="22"/>
          <w:szCs w:val="22"/>
        </w:rPr>
        <w:t xml:space="preserve">Senior Vice President, People Operations</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Full Fixed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Fixed Furlough Letter</dc:title>
  <dc:creator>Document.com</dc:creator>
  <dc:description>Document.com render • token:SAMPLE</dc:description>
  <cp:lastModifiedBy>Un-named</cp:lastModifiedBy>
  <cp:revision>1</cp:revision>
  <dcterms:created xsi:type="dcterms:W3CDTF">2026-11-03T14:34:14.174Z</dcterms:created>
  <dcterms:modified xsi:type="dcterms:W3CDTF">2026-11-03T14:34:14.174Z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2026-11-03T14:34:14.182Z</vt:lpwstr>
  </property>
</Properties>
</file>