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Wage deposit planning worksheet</w:t>
      </w:r>
      <w:r>
        <w:rPr>
          <w:vanish/>
          <w:sz w:val="2"/>
        </w:rPr>
        <w:t xml:space="preserve">​⁠᠎​‌​‌​​‌‌​‌​​​​​‌​‌​​‌‌​‌​‌​‌​​​​​‌​​‌‌​​​‌​​​‌​‌‍</w:t>
      </w:r>
    </w:p>
    <w:p>
      <w:pPr>
        <w:keepNext/>
        <w:keepLines/>
        <w:spacing w:after="200" w:line="320"/>
        <w:jc w:val="left"/>
      </w:pPr>
      <w:r>
        <w:rPr>
          <w:rFonts w:ascii="Times New Roman" w:cs="Times New Roman" w:eastAsia="Times New Roman" w:hAnsi="Times New Roman"/>
          <w:b/>
          <w:bCs/>
          <w:sz w:val="22"/>
          <w:szCs w:val="22"/>
        </w:rPr>
        <w:t xml:space="preserve">Washington wage payment</w:t>
      </w:r>
    </w:p>
    <w:p>
      <w:pPr>
        <w:keepNext w:val="false"/>
        <w:keepLines w:val="false"/>
        <w:spacing w:after="200" w:line="320"/>
        <w:jc w:val="both"/>
      </w:pPr>
      <w:r>
        <w:rPr>
          <w:rFonts w:ascii="Times New Roman" w:cs="Times New Roman" w:eastAsia="Times New Roman" w:hAnsi="Times New Roman"/>
          <w:sz w:val="22"/>
          <w:szCs w:val="22"/>
        </w:rPr>
        <w:t xml:space="preserve">For Washington state payroll, appointments beginning July 1, 2023 or later generally use electronic funds transfer to the worker’s designated institution or a payroll card. The statute deems payment made when the transfer is executed. Older appointments have different warrant, deposit and requested-mail rules. Check conflicting contractual rights and any OFM-approved exception for qualifying short-term, intermittent noncareer employees, higher-education students or Guard members on state active duty. The University of Washington transition ran to July 1, 2025. </w:t>
      </w:r>
      <w:hyperlink w:history="1" r:id="rIdhxyr_yojryvmbdgd7chkj">
        <w:r>
          <w:rPr>
            <w:rStyle w:val="Hyperlink"/>
          </w:rPr>
          <w:t xml:space="preserve">RCW 42.16.010</w:t>
        </w:r>
      </w:hyperlink>
      <w:r>
        <w:rPr>
          <w:rFonts w:ascii="Times New Roman" w:cs="Times New Roman" w:eastAsia="Times New Roman" w:hAnsi="Times New Roman"/>
          <w:sz w:val="22"/>
          <w:szCs w:val="2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Reported appointment:</w:t>
      </w:r>
      <w:r>
        <w:rPr>
          <w:rFonts w:ascii="Times New Roman" w:cs="Times New Roman" w:eastAsia="Times New Roman" w:hAnsi="Times New Roman"/>
          <w:sz w:val="22"/>
          <w:szCs w:val="22"/>
        </w:rPr>
        <w:t xml:space="preserve"> Began on or after July 1, 2023. Contract or exception status remains unresolved.</w:t>
      </w:r>
    </w:p>
    <w:p>
      <w:pPr>
        <w:keepNext w:val="false"/>
        <w:keepLines w:val="false"/>
        <w:spacing w:after="200" w:line="320"/>
        <w:jc w:val="both"/>
      </w:pPr>
      <w:r>
        <w:rPr>
          <w:rFonts w:ascii="Times New Roman" w:cs="Times New Roman" w:eastAsia="Times New Roman" w:hAnsi="Times New Roman"/>
          <w:sz w:val="22"/>
          <w:szCs w:val="22"/>
        </w:rPr>
        <w:t xml:space="preserve">Institutions of higher education may require deposit for workers with accounts and use an alternative for a worker without an account. Under the separate public disbursement statute, the written request of 25 employees applies to the disbursing program where relevant. A conservation district is exempt from that threshold. The law preserves institution choice. Confirm the actual public employer and authorized instructions. </w:t>
      </w:r>
      <w:hyperlink w:history="1" r:id="rIdletqzcq6a7tr2qkyzssup">
        <w:r>
          <w:rPr>
            <w:rStyle w:val="Hyperlink"/>
          </w:rPr>
          <w:t xml:space="preserve">RCW 41.04.240</w:t>
        </w:r>
      </w:hyperlink>
      <w:r>
        <w:rPr>
          <w:rFonts w:ascii="Times New Roman" w:cs="Times New Roman" w:eastAsia="Times New Roman" w:hAnsi="Times New Roman"/>
          <w:sz w:val="22"/>
          <w:szCs w:val="2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Reported access or agency record:</w:t>
      </w:r>
      <w:r>
        <w:rPr>
          <w:rFonts w:ascii="Times New Roman" w:cs="Times New Roman" w:eastAsia="Times New Roman" w:hAnsi="Times New Roman"/>
          <w:sz w:val="22"/>
          <w:szCs w:val="22"/>
        </w:rPr>
        <w:t xml:space="preserve"> Synthetic verification: the Washington worker selected a bank and the payroll system confirms access to the full wages at no charge on payday.</w:t>
      </w:r>
    </w:p>
    <w:p>
      <w:pPr>
        <w:keepNext w:val="false"/>
        <w:keepLines w:val="false"/>
        <w:spacing w:after="200" w:line="320"/>
        <w:jc w:val="both"/>
      </w:pPr>
      <w:r>
        <w:rPr>
          <w:rFonts w:ascii="Times New Roman" w:cs="Times New Roman" w:eastAsia="Times New Roman" w:hAnsi="Times New Roman"/>
          <w:b/>
          <w:bCs/>
          <w:sz w:val="22"/>
          <w:szCs w:val="22"/>
        </w:rPr>
        <w:t xml:space="preserve">Unsigned worksheet.</w:t>
      </w:r>
      <w:r>
        <w:rPr>
          <w:rFonts w:ascii="Times New Roman" w:cs="Times New Roman" w:eastAsia="Times New Roman" w:hAnsi="Times New Roman"/>
          <w:sz w:val="22"/>
          <w:szCs w:val="22"/>
        </w:rPr>
        <w:t xml:space="preserve"> No wages are directed to an account by this copy. Confirm the work location, how the employer selected the payment method, who owns and chose the receiving institution, and the applicable notices before signing. For an employer-issued payroll card or an independently selected prepaid account, use the prepaid option. A worker who has not chosen an institution, a missing disclosure, or unresolved requirements must not be treated as consent.</w:t>
      </w:r>
    </w:p>
    <w:p>
      <w:pPr>
        <w:keepNext w:val="false"/>
        <w:keepLines w:val="false"/>
        <w:spacing w:after="200" w:line="320"/>
        <w:jc w:val="both"/>
      </w:pPr>
      <w:r>
        <w:rPr>
          <w:rFonts w:ascii="Times New Roman" w:cs="Times New Roman" w:eastAsia="Times New Roman" w:hAnsi="Times New Roman"/>
          <w:b/>
          <w:bCs/>
          <w:sz w:val="22"/>
          <w:szCs w:val="22"/>
        </w:rPr>
        <w:t xml:space="preserve">Public payroll.</w:t>
      </w:r>
      <w:r>
        <w:rPr>
          <w:rFonts w:ascii="Times New Roman" w:cs="Times New Roman" w:eastAsia="Times New Roman" w:hAnsi="Times New Roman"/>
          <w:sz w:val="22"/>
          <w:szCs w:val="22"/>
        </w:rPr>
        <w:t xml:space="preserve"> Follow the employing agency’s authorized enrollment process. This document does not replace a mandatory agency form.</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Bank Setup Direct Deposit Authorization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xyr_yojryvmbdgd7chkj" Type="http://schemas.openxmlformats.org/officeDocument/2006/relationships/hyperlink" Target="https://app.leg.wa.gov/RCW/default.aspx?cite=42.16.010&amp;pdf=true" TargetMode="External"/><Relationship Id="rIdletqzcq6a7tr2qkyzssup" Type="http://schemas.openxmlformats.org/officeDocument/2006/relationships/hyperlink" Target="https://app.leg.wa.gov/RCW/default.aspx?cite=41.04.240&amp;pdf=true"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 Setup Direct Deposit Authorization</dc:title>
  <dc:creator>Document.com</dc:creator>
  <dc:description>Document.com render • token:SAMPLE</dc:description>
  <cp:lastModifiedBy>Un-named</cp:lastModifiedBy>
  <cp:revision>1</cp:revision>
  <dcterms:created xsi:type="dcterms:W3CDTF">2026-11-03T10:34:03.725Z</dcterms:created>
  <dcterms:modified xsi:type="dcterms:W3CDTF">2026-11-03T10:34:03.725Z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2026-11-03T10:34:03.729Z</vt:lpwstr>
  </property>
</Properties>
</file>