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Vendor payment planning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planning worksheet.</w:t>
      </w:r>
      <w:r>
        <w:rPr>
          <w:rFonts w:ascii="Times New Roman" w:cs="Times New Roman" w:eastAsia="Times New Roman" w:hAnsi="Times New Roman"/>
          <w:sz w:val="22"/>
          <w:szCs w:val="22"/>
        </w:rPr>
        <w:t xml:space="preserve"> This copy gives no instruction to send money or debit an account. Before signing, establish that this is non-wage payment for a vendor or contractor, who owns the receiving account and can sign, the purpose for which it was opened, and whether the payment is domestic. Use the payroll workflow for wages. Confirm the applicable bank process for joint or third-party accounts, prepaid accounts or an international payment chain.</w:t>
      </w:r>
    </w:p>
    <w:p>
      <w:pPr>
        <w:keepNext w:val="false"/>
        <w:keepLines w:val="false"/>
        <w:spacing w:after="200" w:line="320"/>
        <w:jc w:val="both"/>
      </w:pPr>
      <w:r>
        <w:rPr>
          <w:rFonts w:ascii="Times New Roman" w:cs="Times New Roman" w:eastAsia="Times New Roman" w:hAnsi="Times New Roman"/>
          <w:sz w:val="22"/>
          <w:szCs w:val="22"/>
        </w:rPr>
        <w:t xml:space="preserve">Ask the originating financial institution to assess international ACH (IAT) and applicable screening based on the full payment chain, including intermediaries. Parties’ mailing addresses alone do not determine the route.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Vendor ACH credit instruction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ACH credit instruction</dc:title>
  <dc:creator>Document.com</dc:creator>
  <dc:description>Document.com render • token:SAMPLE</dc:description>
  <cp:lastModifiedBy>Un-named</cp:lastModifiedBy>
  <cp:revision>1</cp:revision>
  <dcterms:created xsi:type="dcterms:W3CDTF">2026-11-03T06:53:11.771Z</dcterms:created>
  <dcterms:modified xsi:type="dcterms:W3CDTF">2026-11-03T06:53:11.771Z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2026-11-03T06:53:11.783Z</vt:lpwstr>
  </property>
</Properties>
</file>