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Payroll card or prepaid account for wages</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Employee: Alex Example | Employer: Example Employer | State identified for work: IL</w:t>
      </w:r>
    </w:p>
    <w:p>
      <w:pPr>
        <w:keepNext w:val="false"/>
        <w:keepLines w:val="false"/>
        <w:spacing w:after="200" w:line="320"/>
        <w:jc w:val="both"/>
      </w:pPr>
      <w:r>
        <w:rPr>
          <w:rFonts w:ascii="Times New Roman" w:cs="Times New Roman" w:eastAsia="Times New Roman" w:hAnsi="Times New Roman"/>
          <w:sz w:val="22"/>
          <w:szCs w:val="22"/>
        </w:rPr>
        <w:t xml:space="preserve">The employer offers the payroll card. An employer cannot require use of a particular institution as a condition of employment. Before choosing the card, review the wage payment alternatives and the issuer’s applicable disclosures, fees and access terms. </w:t>
      </w:r>
      <w:hyperlink w:history="1" r:id="rIdo1mrojoehtsuw77ulxnfi">
        <w:r>
          <w:rPr>
            <w:rStyle w:val="Hyperlink"/>
          </w:rPr>
          <w:t xml:space="preserve">Federal account choice</w:t>
        </w:r>
      </w:hyperlink>
      <w:r>
        <w:rPr>
          <w:rFonts w:ascii="Times New Roman" w:cs="Times New Roman" w:eastAsia="Times New Roman" w:hAnsi="Times New Roman"/>
          <w:sz w:val="22"/>
          <w:szCs w:val="22"/>
        </w:rPr>
        <w:t xml:space="preserve"> and </w:t>
      </w:r>
      <w:hyperlink w:history="1" r:id="rId1eyjpeboub28mwa9fpytf">
        <w:r>
          <w:rPr>
            <w:rStyle w:val="Hyperlink"/>
          </w:rPr>
          <w:t xml:space="preserve">prepaid account disclosures</w:t>
        </w:r>
      </w:hyperlink>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Illinois employer payroll card.</w:t>
      </w:r>
      <w:r>
        <w:rPr>
          <w:rFonts w:ascii="Times New Roman" w:cs="Times New Roman" w:eastAsia="Times New Roman" w:hAnsi="Times New Roman"/>
          <w:sz w:val="22"/>
          <w:szCs w:val="22"/>
        </w:rPr>
        <w:t xml:space="preserve"> The employer must offer payment by cash or check and obtain voluntary written or electronic consent. Before paying by card, provide the written options, itemized fees, third-party fee notice and instructions for free access to wages, balance and histories. The employee must be able to withdraw all net wages at an accessible location without charge once per pay period and at least twice monthly. After a request to switch, begin the requested allowable method within two pay periods. See 820 ILCS 115/14.5. </w:t>
      </w:r>
      <w:hyperlink w:history="1" r:id="rIdnoig3t999wvqg0sclyixw">
        <w:r>
          <w:rPr>
            <w:rStyle w:val="Hyperlink"/>
          </w:rPr>
          <w:t xml:space="preserve">Illinois Department of Labor payroll card information</w:t>
        </w:r>
      </w:hyperlink>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Wage deposit election</w:t>
      </w:r>
    </w:p>
    <w:p>
      <w:pPr>
        <w:keepNext w:val="false"/>
        <w:keepLines w:val="false"/>
        <w:spacing w:after="200" w:line="320"/>
        <w:jc w:val="both"/>
      </w:pPr>
      <w:r>
        <w:rPr>
          <w:rFonts w:ascii="Times New Roman" w:cs="Times New Roman" w:eastAsia="Times New Roman" w:hAnsi="Times New Roman"/>
          <w:sz w:val="22"/>
          <w:szCs w:val="22"/>
        </w:rPr>
        <w:t xml:space="preserve">Election date: November 2, 2026. For other start requests, use the first lawful available payday after processing. Continue paying wages by an available method until the switch takes effect.</w:t>
      </w:r>
    </w:p>
    <w:p>
      <w:pPr>
        <w:keepNext w:val="false"/>
        <w:keepLines w:val="false"/>
        <w:spacing w:after="200" w:line="320"/>
        <w:jc w:val="both"/>
      </w:pPr>
      <w:r>
        <w:rPr>
          <w:rFonts w:ascii="Times New Roman" w:cs="Times New Roman" w:eastAsia="Times New Roman" w:hAnsi="Times New Roman"/>
          <w:sz w:val="22"/>
          <w:szCs w:val="22"/>
        </w:rPr>
        <w:t xml:space="preserve">I choose the employer-offered card after receiving the disclosures described here. Other payment method offered: Payment by paper check. Disclosure and delivery record: Illustration only. The employee received the issuer’s short and long prepaid account disclosures, the itemized fee schedule and information on the other available wage-payment method before choosing the card..</w:t>
      </w:r>
    </w:p>
    <w:p>
      <w:pPr>
        <w:keepNext w:val="false"/>
        <w:keepLines w:val="false"/>
        <w:spacing w:after="200" w:line="320"/>
        <w:jc w:val="both"/>
      </w:pPr>
      <w:r>
        <w:rPr>
          <w:rFonts w:ascii="Times New Roman" w:cs="Times New Roman" w:eastAsia="Times New Roman" w:hAnsi="Times New Roman"/>
          <w:sz w:val="22"/>
          <w:szCs w:val="22"/>
        </w:rPr>
        <w:t xml:space="preserve">Work-location notice and eligibility record: Fictional example only. The employee and payroll department recorded the work location, applicable options, notices, timing and supporting records before this illustrative election. Fictional example only. Never use this illustrative account for payment. A routing-number format check does not verify account ownership, ACH eligibility or a deposit instruction.</w:t>
      </w:r>
    </w:p>
    <w:p>
      <w:pPr>
        <w:keepNext w:val="false"/>
        <w:keepLines w:val="false"/>
        <w:spacing w:after="200" w:line="320"/>
        <w:jc w:val="both"/>
      </w:pPr>
      <w:r>
        <w:rPr>
          <w:rFonts w:ascii="Times New Roman" w:cs="Times New Roman" w:eastAsia="Times New Roman" w:hAnsi="Times New Roman"/>
          <w:sz w:val="22"/>
          <w:szCs w:val="22"/>
        </w:rPr>
        <w:t xml:space="preserve">I authorize Example Employer to </w:t>
      </w:r>
      <w:r>
        <w:rPr>
          <w:rFonts w:ascii="Times New Roman" w:cs="Times New Roman" w:eastAsia="Times New Roman" w:hAnsi="Times New Roman"/>
          <w:b/>
          <w:bCs/>
          <w:sz w:val="22"/>
          <w:szCs w:val="22"/>
        </w:rPr>
        <w:t xml:space="preserve">credit</w:t>
      </w:r>
      <w:r>
        <w:rPr>
          <w:rFonts w:ascii="Times New Roman" w:cs="Times New Roman" w:eastAsia="Times New Roman" w:hAnsi="Times New Roman"/>
          <w:sz w:val="22"/>
          <w:szCs w:val="22"/>
        </w:rPr>
        <w:t xml:space="preserve"> my wages to the account identified below, subject to applicable notice and payroll timing.</w:t>
      </w:r>
    </w:p>
    <w:p>
      <w:pPr>
        <w:keepNext w:val="false"/>
        <w:keepLines w:val="false"/>
        <w:spacing w:after="200" w:line="320"/>
        <w:jc w:val="both"/>
      </w:pPr>
      <w:r>
        <w:rPr>
          <w:rFonts w:ascii="Times New Roman" w:cs="Times New Roman" w:eastAsia="Times New Roman" w:hAnsi="Times New Roman"/>
          <w:sz w:val="22"/>
          <w:szCs w:val="22"/>
        </w:rPr>
        <w:t xml:space="preserve">Institution: Navy Federal Credit Union (public routing-number illustration) | Routing number: 256074974 | Account number: 000000000001</w:t>
      </w:r>
    </w:p>
    <w:p>
      <w:pPr>
        <w:keepNext/>
        <w:keepLines/>
        <w:spacing w:after="200" w:line="320"/>
        <w:jc w:val="both"/>
      </w:pPr>
      <w:r>
        <w:rPr>
          <w:rFonts w:ascii="Times New Roman" w:cs="Times New Roman" w:eastAsia="Times New Roman" w:hAnsi="Times New Roman"/>
          <w:sz w:val="22"/>
          <w:szCs w:val="22"/>
        </w:rPr>
        <w:t xml:space="preserve">This wage deposit election does not authorize an unrelated debit, a wage deduction, or an alteration to when earned wages are due.</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authoriz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uthoriz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uthoriz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Prepaid Card Direct Deposit Authorization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1mrojoehtsuw77ulxnfi" Type="http://schemas.openxmlformats.org/officeDocument/2006/relationships/hyperlink" Target="https://www.consumerfinance.gov/rules-policy/regulations/1005/10/" TargetMode="External"/><Relationship Id="rId1eyjpeboub28mwa9fpytf" Type="http://schemas.openxmlformats.org/officeDocument/2006/relationships/hyperlink" Target="https://www.consumerfinance.gov/rules-policy/regulations/1005/18/" TargetMode="External"/><Relationship Id="rIdnoig3t999wvqg0sclyixw" Type="http://schemas.openxmlformats.org/officeDocument/2006/relationships/hyperlink" Target="https://labor.illinois.gov/laws-rules/fls/debit-credit-cards.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Prepaid Card Direct Deposit Authorization</dc:title>
  <dc:creator>Document.com</dc:creator>
  <dc:description>Document.com render • token:SAMPLE</dc:description>
  <cp:lastModifiedBy>Un-named</cp:lastModifiedBy>
  <cp:revision>1</cp:revision>
  <dcterms:created xsi:type="dcterms:W3CDTF">2026-11-03T07:35:22.209Z</dcterms:created>
  <dcterms:modified xsi:type="dcterms:W3CDTF">2026-11-03T07:35:22.209Z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2026-11-03T07:35:22.242Z</vt:lpwstr>
  </property>
</Properties>
</file>