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patient independently used another tool and asks the treating professional about it.</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The patient initiated the software use. The provider may discuss it while protecting confidentiality, monitoring safety, intervening when necessary and discussing risks and limitations.</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B6F9742ABBCDB3FF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token:B6F9742ABBCDB3FF</dc:description>
  <cp:lastModifiedBy>Un-named</cp:lastModifiedBy>
  <cp:revision>1</cp:revision>
  <dcterms:created xsi:type="dcterms:W3CDTF">2026-11-03T21:34:07.063Z</dcterms:created>
  <dcterms:modified xsi:type="dcterms:W3CDTF">2026-11-03T21:34:07.063Z</dcterms:modified>
  <dc:subject>dc_token:B6F9742ABBCDB3FF</dc:subject>
  <cp:keywords>dc_token:B6F9742ABBCDB3FF</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B6F9742ABBCDB3FF</vt:lpwstr>
  </property>
  <property fmtid="{D5CDD505-2E9C-101B-9397-08002B2CF9AE}" pid="3" name="dc_generator">
    <vt:lpwstr>Document.com</vt:lpwstr>
  </property>
  <property fmtid="{D5CDD505-2E9C-101B-9397-08002B2CF9AE}" pid="4" name="dc_generated_at">
    <vt:lpwstr>2026-11-03T21:34:07.072Z</vt:lpwstr>
  </property>
</Properties>
</file>