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Mental-Health App Disclosure and Receipt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Reviewed disclosure for the service described below.</w:t>
      </w:r>
      <w:r>
        <w:rPr>
          <w:rFonts w:ascii="Times New Roman" w:cs="Times New Roman" w:eastAsia="Times New Roman" w:hAnsi="Times New Roman"/>
          <w:sz w:val="22"/>
          <w:szCs w:val="22"/>
        </w:rPr>
        <w:t xml:space="preserve"> Issuing this form does not prove that operational controls or required notices have been implemented.</w:t>
      </w:r>
    </w:p>
    <w:p>
      <w:pPr>
        <w:keepNext/>
        <w:spacing w:after="120" w:before="300"/>
        <w:jc w:val="left"/>
      </w:pPr>
      <w:r>
        <w:rPr>
          <w:rFonts w:ascii="Times New Roman" w:cs="Times New Roman" w:eastAsia="Times New Roman" w:hAnsi="Times New Roman"/>
          <w:b/>
          <w:bCs/>
          <w:sz w:val="24"/>
          <w:szCs w:val="24"/>
        </w:rPr>
        <w:t xml:space="preserve">Service and People</w:t>
      </w:r>
    </w:p>
    <w:p>
      <w:pPr>
        <w:keepNext w:val="false"/>
        <w:keepLines w:val="false"/>
        <w:spacing w:after="200" w:line="320"/>
        <w:jc w:val="both"/>
      </w:pPr>
      <w:r>
        <w:rPr>
          <w:rFonts w:ascii="Times New Roman" w:cs="Times New Roman" w:eastAsia="Times New Roman" w:hAnsi="Times New Roman"/>
          <w:b/>
          <w:bCs/>
          <w:sz w:val="22"/>
          <w:szCs w:val="22"/>
        </w:rPr>
        <w:t xml:space="preserve">Operator:</w:t>
      </w:r>
      <w:r>
        <w:rPr>
          <w:rFonts w:ascii="Times New Roman" w:cs="Times New Roman" w:eastAsia="Times New Roman" w:hAnsi="Times New Roman"/>
          <w:sz w:val="22"/>
          <w:szCs w:val="22"/>
        </w:rPr>
        <w:t xml:space="preserve"> Example Clinical Services, Inc.</w:t>
      </w:r>
    </w:p>
    <w:p>
      <w:pPr>
        <w:keepNext w:val="false"/>
        <w:keepLines w:val="false"/>
        <w:spacing w:after="200" w:line="320"/>
        <w:jc w:val="both"/>
      </w:pPr>
      <w:r>
        <w:rPr>
          <w:rFonts w:ascii="Times New Roman" w:cs="Times New Roman" w:eastAsia="Times New Roman" w:hAnsi="Times New Roman"/>
          <w:b/>
          <w:bCs/>
          <w:sz w:val="22"/>
          <w:szCs w:val="22"/>
        </w:rPr>
        <w:t xml:space="preserve">App, tool and version:</w:t>
      </w:r>
      <w:r>
        <w:rPr>
          <w:rFonts w:ascii="Times New Roman" w:cs="Times New Roman" w:eastAsia="Times New Roman" w:hAnsi="Times New Roman"/>
          <w:sz w:val="22"/>
          <w:szCs w:val="22"/>
        </w:rPr>
        <w:t xml:space="preserve"> Example Therapy App</w:t>
      </w:r>
    </w:p>
    <w:p>
      <w:pPr>
        <w:keepNext w:val="false"/>
        <w:keepLines w:val="false"/>
        <w:spacing w:after="200" w:line="320"/>
        <w:jc w:val="both"/>
      </w:pPr>
      <w:r>
        <w:rPr>
          <w:rFonts w:ascii="Times New Roman" w:cs="Times New Roman" w:eastAsia="Times New Roman" w:hAnsi="Times New Roman"/>
          <w:b/>
          <w:bCs/>
          <w:sz w:val="22"/>
          <w:szCs w:val="22"/>
        </w:rPr>
        <w:t xml:space="preserve">Disclosure version date:</w:t>
      </w:r>
      <w:r>
        <w:rPr>
          <w:rFonts w:ascii="Times New Roman" w:cs="Times New Roman" w:eastAsia="Times New Roman" w:hAnsi="Times New Roman"/>
          <w:sz w:val="22"/>
          <w:szCs w:val="22"/>
        </w:rPr>
        <w:t xml:space="preserve"> 2026-10-21</w:t>
      </w:r>
    </w:p>
    <w:p>
      <w:pPr>
        <w:keepNext w:val="false"/>
        <w:keepLines w:val="false"/>
        <w:spacing w:after="200" w:line="320"/>
        <w:jc w:val="both"/>
      </w:pPr>
      <w:r>
        <w:rPr>
          <w:rFonts w:ascii="Times New Roman" w:cs="Times New Roman" w:eastAsia="Times New Roman" w:hAnsi="Times New Roman"/>
          <w:b/>
          <w:bCs/>
          <w:sz w:val="22"/>
          <w:szCs w:val="22"/>
        </w:rPr>
        <w:t xml:space="preserve">User or record identifier:</w:t>
      </w:r>
      <w:r>
        <w:rPr>
          <w:rFonts w:ascii="Times New Roman" w:cs="Times New Roman" w:eastAsia="Times New Roman" w:hAnsi="Times New Roman"/>
          <w:sz w:val="22"/>
          <w:szCs w:val="22"/>
        </w:rPr>
        <w:t xml:space="preserve"> Alex Example, an adult in this synthetic case</w:t>
      </w:r>
    </w:p>
    <w:p>
      <w:pPr>
        <w:keepNext w:val="false"/>
        <w:keepLines w:val="false"/>
        <w:spacing w:after="200" w:line="320"/>
        <w:jc w:val="both"/>
      </w:pPr>
      <w:r>
        <w:rPr>
          <w:rFonts w:ascii="Times New Roman" w:cs="Times New Roman" w:eastAsia="Times New Roman" w:hAnsi="Times New Roman"/>
          <w:b/>
          <w:bCs/>
          <w:sz w:val="22"/>
          <w:szCs w:val="22"/>
        </w:rPr>
        <w:t xml:space="preserve">Locations served:</w:t>
      </w:r>
      <w:r>
        <w:rPr>
          <w:rFonts w:ascii="Times New Roman" w:cs="Times New Roman" w:eastAsia="Times New Roman" w:hAnsi="Times New Roman"/>
          <w:sz w:val="22"/>
          <w:szCs w:val="22"/>
        </w:rPr>
        <w:t xml:space="preserve"> Massachusetts operator offering services in Rhode Island.</w:t>
      </w:r>
    </w:p>
    <w:p>
      <w:pPr>
        <w:keepNext w:val="false"/>
        <w:keepLines w:val="false"/>
        <w:spacing w:after="200" w:line="320"/>
        <w:jc w:val="both"/>
      </w:pPr>
      <w:r>
        <w:rPr>
          <w:rFonts w:ascii="Times New Roman" w:cs="Times New Roman" w:eastAsia="Times New Roman" w:hAnsi="Times New Roman"/>
          <w:b/>
          <w:bCs/>
          <w:sz w:val="22"/>
          <w:szCs w:val="22"/>
        </w:rPr>
        <w:t xml:space="preserve">Actual functions, intended use, evidence and limitations:</w:t>
      </w:r>
      <w:r>
        <w:rPr>
          <w:rFonts w:ascii="Times New Roman" w:cs="Times New Roman" w:eastAsia="Times New Roman" w:hAnsi="Times New Roman"/>
          <w:sz w:val="22"/>
          <w:szCs w:val="22"/>
        </w:rPr>
        <w:t xml:space="preserve"> The example tool assists with appointment scheduling only.</w:t>
      </w:r>
    </w:p>
    <w:p>
      <w:pPr>
        <w:keepNext w:val="false"/>
        <w:keepLines w:val="false"/>
        <w:spacing w:after="200" w:line="320"/>
        <w:jc w:val="both"/>
      </w:pPr>
      <w:r>
        <w:rPr>
          <w:rFonts w:ascii="Times New Roman" w:cs="Times New Roman" w:eastAsia="Times New Roman" w:hAnsi="Times New Roman"/>
          <w:b/>
          <w:bCs/>
          <w:sz w:val="22"/>
          <w:szCs w:val="22"/>
        </w:rPr>
        <w:t xml:space="preserve">Service model:</w:t>
      </w:r>
      <w:r>
        <w:rPr>
          <w:rFonts w:ascii="Times New Roman" w:cs="Times New Roman" w:eastAsia="Times New Roman" w:hAnsi="Times New Roman"/>
          <w:sz w:val="22"/>
          <w:szCs w:val="22"/>
        </w:rPr>
        <w:t xml:space="preserve"> Clinical Support</w:t>
      </w:r>
    </w:p>
    <w:p>
      <w:pPr>
        <w:keepNext w:val="false"/>
        <w:keepLines w:val="false"/>
        <w:spacing w:after="200" w:line="320"/>
        <w:jc w:val="both"/>
      </w:pPr>
      <w:r>
        <w:rPr>
          <w:rFonts w:ascii="Times New Roman" w:cs="Times New Roman" w:eastAsia="Times New Roman" w:hAnsi="Times New Roman"/>
          <w:sz w:val="22"/>
          <w:szCs w:val="22"/>
        </w:rPr>
        <w:t xml:space="preserve">AI-generated responses come from software, not a human professional. They can be incorrect, incomplete or inappropriate. Human-like language does not establish understanding, professional credentials or a therapeutic relationship.</w:t>
      </w:r>
    </w:p>
    <w:p>
      <w:pPr>
        <w:keepNext w:val="false"/>
        <w:keepLines w:val="false"/>
        <w:spacing w:after="200" w:line="320"/>
        <w:jc w:val="both"/>
      </w:pPr>
      <w:r>
        <w:rPr>
          <w:rFonts w:ascii="Times New Roman" w:cs="Times New Roman" w:eastAsia="Times New Roman" w:hAnsi="Times New Roman"/>
          <w:b/>
          <w:bCs/>
          <w:sz w:val="22"/>
          <w:szCs w:val="22"/>
        </w:rPr>
        <w:t xml:space="preserve">Actual human roles, qualifications, relationships and availability:</w:t>
      </w:r>
      <w:r>
        <w:rPr>
          <w:rFonts w:ascii="Times New Roman" w:cs="Times New Roman" w:eastAsia="Times New Roman" w:hAnsi="Times New Roman"/>
          <w:sz w:val="22"/>
          <w:szCs w:val="22"/>
        </w:rPr>
        <w:t xml:space="preserve"> A clinician conducts the example therapy where the selected activity is clinical. This example does not identify an actual patient or provider.</w:t>
      </w:r>
    </w:p>
    <w:p>
      <w:pPr>
        <w:keepNext w:val="false"/>
        <w:keepLines w:val="false"/>
        <w:spacing w:after="200" w:line="320"/>
        <w:jc w:val="both"/>
      </w:pPr>
      <w:r>
        <w:rPr>
          <w:rFonts w:ascii="Times New Roman" w:cs="Times New Roman" w:eastAsia="Times New Roman" w:hAnsi="Times New Roman"/>
          <w:sz w:val="22"/>
          <w:szCs w:val="22"/>
        </w:rPr>
        <w:t xml:space="preserve">The operator identifies support within a licensed professional service. The actual provider relationship and professional duties are governed by the facts and applicable law, not disclaimed by this form. Separate clinical consent may be required.</w:t>
      </w:r>
    </w:p>
    <w:p>
      <w:pPr>
        <w:keepNext w:val="false"/>
        <w:keepLines w:val="false"/>
        <w:spacing w:after="200" w:line="320"/>
        <w:jc w:val="both"/>
      </w:pPr>
      <w:r>
        <w:rPr>
          <w:rFonts w:ascii="Times New Roman" w:cs="Times New Roman" w:eastAsia="Times New Roman" w:hAnsi="Times New Roman"/>
          <w:b/>
          <w:bCs/>
          <w:sz w:val="22"/>
          <w:szCs w:val="22"/>
        </w:rPr>
        <w:t xml:space="preserve">Marketing and in-app claims review:</w:t>
      </w:r>
      <w:r>
        <w:rPr>
          <w:rFonts w:ascii="Times New Roman" w:cs="Times New Roman" w:eastAsia="Times New Roman" w:hAnsi="Times New Roman"/>
          <w:sz w:val="22"/>
          <w:szCs w:val="22"/>
        </w:rPr>
        <w:t xml:space="preserve"> The example service makes no independent diagnostic or treatment claims.</w:t>
      </w:r>
    </w:p>
    <w:p>
      <w:pPr>
        <w:keepNext w:val="false"/>
        <w:keepLines w:val="false"/>
        <w:spacing w:after="200" w:line="320"/>
        <w:jc w:val="both"/>
      </w:pPr>
      <w:r>
        <w:rPr>
          <w:rFonts w:ascii="Times New Roman" w:cs="Times New Roman" w:eastAsia="Times New Roman" w:hAnsi="Times New Roman"/>
          <w:sz w:val="22"/>
          <w:szCs w:val="22"/>
        </w:rPr>
        <w:t xml:space="preserve">A disclosure does not automatically cure a misleading overall impression. Correct unsupported claims in the product and its advertising; do not rely on a conflicting disclaimer.</w:t>
      </w:r>
    </w:p>
    <w:p>
      <w:pPr>
        <w:keepNext w:val="false"/>
        <w:keepLines w:val="false"/>
        <w:spacing w:after="200" w:line="320"/>
        <w:jc w:val="both"/>
      </w:pPr>
      <w:r>
        <w:rPr>
          <w:rFonts w:ascii="Times New Roman" w:cs="Times New Roman" w:eastAsia="Times New Roman" w:hAnsi="Times New Roman"/>
          <w:b/>
          <w:bCs/>
          <w:sz w:val="22"/>
          <w:szCs w:val="22"/>
        </w:rPr>
        <w:t xml:space="preserve">Ages admitted, age assurance and minor rights:</w:t>
      </w:r>
      <w:r>
        <w:rPr>
          <w:rFonts w:ascii="Times New Roman" w:cs="Times New Roman" w:eastAsia="Times New Roman" w:hAnsi="Times New Roman"/>
          <w:sz w:val="22"/>
          <w:szCs w:val="22"/>
        </w:rPr>
        <w:t xml:space="preserve"> Adults in this example.</w:t>
      </w:r>
    </w:p>
    <w:p>
      <w:pPr>
        <w:keepNext w:val="false"/>
        <w:keepLines w:val="false"/>
        <w:spacing w:after="200" w:line="320"/>
        <w:jc w:val="both"/>
      </w:pPr>
      <w:r>
        <w:rPr>
          <w:rFonts w:ascii="Times New Roman" w:cs="Times New Roman" w:eastAsia="Times New Roman" w:hAnsi="Times New Roman"/>
          <w:b/>
          <w:bCs/>
          <w:sz w:val="22"/>
          <w:szCs w:val="22"/>
        </w:rPr>
        <w:t xml:space="preserve">Capacity or authority review:</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Safety, Human Support and Limits</w:t>
      </w:r>
    </w:p>
    <w:p>
      <w:pPr>
        <w:keepNext w:val="false"/>
        <w:keepLines w:val="false"/>
        <w:spacing w:after="200" w:line="320"/>
        <w:jc w:val="both"/>
      </w:pPr>
      <w:r>
        <w:rPr>
          <w:rFonts w:ascii="Times New Roman" w:cs="Times New Roman" w:eastAsia="Times New Roman" w:hAnsi="Times New Roman"/>
          <w:b/>
          <w:bCs/>
          <w:sz w:val="22"/>
          <w:szCs w:val="22"/>
        </w:rPr>
        <w:t xml:space="preserve">Actual crisis workflow, hours, response limits and failure modes:</w:t>
      </w:r>
      <w:r>
        <w:rPr>
          <w:rFonts w:ascii="Times New Roman" w:cs="Times New Roman" w:eastAsia="Times New Roman" w:hAnsi="Times New Roman"/>
          <w:sz w:val="22"/>
          <w:szCs w:val="22"/>
        </w:rPr>
        <w:t xml:space="preserve"> The sample tool has no live crisis monitor. It displays separate instructions for contacting emergency assistance.</w:t>
      </w:r>
    </w:p>
    <w:p>
      <w:pPr>
        <w:keepNext w:val="false"/>
        <w:keepLines w:val="false"/>
        <w:spacing w:after="200" w:line="320"/>
        <w:jc w:val="both"/>
      </w:pPr>
      <w:r>
        <w:rPr>
          <w:rFonts w:ascii="Times New Roman" w:cs="Times New Roman" w:eastAsia="Times New Roman" w:hAnsi="Times New Roman"/>
          <w:b/>
          <w:bCs/>
          <w:sz w:val="22"/>
          <w:szCs w:val="22"/>
        </w:rPr>
        <w:t xml:space="preserve">Testing, protocols, monitoring and known limitations: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Accessibility, language and human support:</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Do not assume that messages are continuously monitored, that software will recognize an emergency, or that a human will respond. The specific arrangements above must be accurate. These limits do not excuse a legally required safeguard or justify offering a prohibited service. For immediate danger, contact local emergency services rather than relying on an automated conversation. In the United States, crisis support is available by calling </w:t>
      </w:r>
      <w:r>
        <w:rPr>
          <w:rFonts w:ascii="Times New Roman" w:cs="Times New Roman" w:eastAsia="Times New Roman" w:hAnsi="Times New Roman"/>
          <w:sz w:val="22"/>
          <w:szCs w:val="22"/>
        </w:rPr>
        <w:t xml:space="preserve">988</w:t>
      </w:r>
      <w:r>
        <w:rPr>
          <w:rFonts w:ascii="Times New Roman" w:cs="Times New Roman" w:eastAsia="Times New Roman" w:hAnsi="Times New Roman"/>
          <w:sz w:val="22"/>
          <w:szCs w:val="22"/>
        </w:rPr>
        <w:t xml:space="preserve">, texting </w:t>
      </w:r>
      <w:r>
        <w:rPr>
          <w:rFonts w:ascii="Times New Roman" w:cs="Times New Roman" w:eastAsia="Times New Roman" w:hAnsi="Times New Roman"/>
          <w:sz w:val="22"/>
          <w:szCs w:val="22"/>
        </w:rPr>
        <w:t xml:space="preserve">988</w:t>
      </w:r>
      <w:r>
        <w:rPr>
          <w:rFonts w:ascii="Times New Roman" w:cs="Times New Roman" w:eastAsia="Times New Roman" w:hAnsi="Times New Roman"/>
          <w:sz w:val="22"/>
          <w:szCs w:val="22"/>
        </w:rPr>
        <w:t xml:space="preserve">, or using </w:t>
      </w:r>
      <w:r>
        <w:rPr>
          <w:rFonts w:ascii="Times New Roman" w:cs="Times New Roman" w:eastAsia="Times New Roman" w:hAnsi="Times New Roman"/>
          <w:sz w:val="22"/>
          <w:szCs w:val="22"/>
        </w:rPr>
        <w:t xml:space="preserve">988 Lifeline chat</w:t>
      </w:r>
      <w:r>
        <w:rPr>
          <w:rFonts w:ascii="Times New Roman" w:cs="Times New Roman" w:eastAsia="Times New Roman" w:hAnsi="Times New Roman"/>
          <w:sz w:val="22"/>
          <w:szCs w:val="2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Safety implementation review:</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Service legality assessment:</w:t>
      </w:r>
      <w:r>
        <w:rPr>
          <w:rFonts w:ascii="Times New Roman" w:cs="Times New Roman" w:eastAsia="Times New Roman" w:hAnsi="Times New Roman"/>
          <w:sz w:val="22"/>
          <w:szCs w:val="22"/>
        </w:rPr>
        <w:t xml:space="preserve"> Permitted</w:t>
      </w:r>
    </w:p>
    <w:p>
      <w:pPr>
        <w:keepNext w:val="false"/>
        <w:keepLines w:val="false"/>
        <w:spacing w:after="200" w:line="320"/>
        <w:jc w:val="both"/>
      </w:pPr>
      <w:r>
        <w:rPr>
          <w:rFonts w:ascii="Times New Roman" w:cs="Times New Roman" w:eastAsia="Times New Roman" w:hAnsi="Times New Roman"/>
          <w:b/>
          <w:bCs/>
          <w:sz w:val="22"/>
          <w:szCs w:val="22"/>
        </w:rPr>
        <w:t xml:space="preserve">Scope, licensing, exceptions and restriction evidence:</w:t>
      </w:r>
      <w:r>
        <w:rPr>
          <w:rFonts w:ascii="Times New Roman" w:cs="Times New Roman" w:eastAsia="Times New Roman" w:hAnsi="Times New Roman"/>
          <w:sz w:val="22"/>
          <w:szCs w:val="22"/>
        </w:rPr>
        <w:t xml:space="preserve"> Training example only. An operator must document its own legal review before issuing a customer disclosure.</w:t>
      </w:r>
    </w:p>
    <w:p>
      <w:pPr>
        <w:keepNext/>
        <w:spacing w:after="120" w:before="300"/>
        <w:jc w:val="left"/>
      </w:pPr>
      <w:r>
        <w:rPr>
          <w:rFonts w:ascii="Times New Roman" w:cs="Times New Roman" w:eastAsia="Times New Roman" w:hAnsi="Times New Roman"/>
          <w:b/>
          <w:bCs/>
          <w:sz w:val="24"/>
          <w:szCs w:val="24"/>
        </w:rPr>
        <w:t xml:space="preserve">Information and Separate Permissions</w:t>
      </w:r>
    </w:p>
    <w:p>
      <w:pPr>
        <w:keepNext w:val="false"/>
        <w:keepLines w:val="false"/>
        <w:spacing w:after="200" w:line="320"/>
        <w:jc w:val="both"/>
      </w:pPr>
      <w:r>
        <w:rPr>
          <w:rFonts w:ascii="Times New Roman" w:cs="Times New Roman" w:eastAsia="Times New Roman" w:hAnsi="Times New Roman"/>
          <w:b/>
          <w:bCs/>
          <w:sz w:val="22"/>
          <w:szCs w:val="22"/>
        </w:rPr>
        <w:t xml:space="preserve">Information, sources, purposes, recipients and retention:</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Privacy notice, version and human contact:</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HIPAA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FTC Health Breach Notification Rule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COPPA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Purpose-specific legal bases, agreements and permissions: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HIPAA depends on the entity's role and activity, not merely whether information concerns health. The FTC Health Breach Notification Rule addresses covered personal-health-record vendors, related entities and service providers; it does not cover every non-HIPAA app. Its HIPAA exclusion applies to covered entities and to business associates to the extent of their business-associate activities. Assess distinct activities separately. FTC Act duties can apply independently. A privacy-policy link or an agreement with a vendor is not permission for every use.</w:t>
      </w:r>
    </w:p>
    <w:p>
      <w:pPr>
        <w:keepNext w:val="false"/>
        <w:keepLines w:val="false"/>
        <w:spacing w:after="200" w:line="320"/>
        <w:jc w:val="both"/>
      </w:pPr>
      <w:r>
        <w:rPr>
          <w:rFonts w:ascii="Times New Roman" w:cs="Times New Roman" w:eastAsia="Times New Roman" w:hAnsi="Times New Roman"/>
          <w:sz w:val="22"/>
          <w:szCs w:val="22"/>
        </w:rPr>
        <w:t xml:space="preserve">The operator reports no model training or secondary purposes within the processing described here. Material changes require renewed review and any required notice or permission.</w:t>
      </w:r>
    </w:p>
    <w:p>
      <w:pPr>
        <w:keepNext w:val="false"/>
        <w:keepLines w:val="false"/>
        <w:spacing w:after="200" w:line="320"/>
        <w:jc w:val="both"/>
      </w:pPr>
      <w:r>
        <w:rPr>
          <w:rFonts w:ascii="Times New Roman" w:cs="Times New Roman" w:eastAsia="Times New Roman" w:hAnsi="Times New Roman"/>
          <w:sz w:val="22"/>
          <w:szCs w:val="22"/>
        </w:rPr>
        <w:t xml:space="preserve">Infrastructure providers must be included in the actual recipient and role assessment. Do not say that information is never shared while omitting vendors who receive it. Silence, continued use and failure to opt out are not substitutes for required affirmative consent.</w:t>
      </w:r>
    </w:p>
    <w:p>
      <w:pPr>
        <w:keepNext w:val="false"/>
        <w:keepLines w:val="false"/>
        <w:spacing w:after="200" w:line="320"/>
        <w:jc w:val="both"/>
      </w:pPr>
      <w:r>
        <w:rPr>
          <w:rFonts w:ascii="Times New Roman" w:cs="Times New Roman" w:eastAsia="Times New Roman" w:hAnsi="Times New Roman"/>
          <w:b/>
          <w:bCs/>
          <w:sz w:val="22"/>
          <w:szCs w:val="22"/>
        </w:rPr>
        <w:t xml:space="preserve">Child-data analysis and implementation:</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COPPA generally applies to child-directed online services and operators with actual knowledge of collecting personal information from children under 13, subject to its definitions and exceptions. An age label or self-certification does not resolve coverage. The amended rule's general compliance date was April 22, 2026. Assess verifiable parental consent and separate consent for third-party disclosure unless integral to the service, along with applicable exceptions, retention and security duties. Email-based methods have limited conditions; merely sending an email does not establish compliance. This receipt is not verifiable parental consent.</w:t>
      </w:r>
    </w:p>
    <w:p>
      <w:pPr>
        <w:keepNext w:val="false"/>
        <w:keepLines w:val="false"/>
        <w:spacing w:after="200" w:line="320"/>
        <w:jc w:val="both"/>
      </w:pPr>
      <w:r>
        <w:rPr>
          <w:rFonts w:ascii="Times New Roman" w:cs="Times New Roman" w:eastAsia="Times New Roman" w:hAnsi="Times New Roman"/>
          <w:b/>
          <w:bCs/>
          <w:sz w:val="22"/>
          <w:szCs w:val="22"/>
        </w:rPr>
        <w:t xml:space="preserve">Breach response responsibilities: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Privacy implementation review:</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Selected Jurisdiction Requirements</w:t>
      </w:r>
    </w:p>
    <w:p>
      <w:pPr>
        <w:keepNext w:val="false"/>
        <w:keepLines w:val="false"/>
        <w:spacing w:after="200" w:line="320"/>
        <w:jc w:val="both"/>
      </w:pPr>
      <w:r>
        <w:rPr>
          <w:rFonts w:ascii="Times New Roman" w:cs="Times New Roman" w:eastAsia="Times New Roman" w:hAnsi="Times New Roman"/>
          <w:sz w:val="22"/>
          <w:szCs w:val="22"/>
        </w:rPr>
        <w:t xml:space="preserve">These checks cover selected requirements, not every applicable law. The operator's home state does not exclude mandatory rules in other locations. The actual function, users, dates, exceptions and delivery channel matter. A completed form cannot implement an in-product notice or safety control.</w:t>
      </w:r>
    </w:p>
    <w:p>
      <w:pPr>
        <w:keepNext w:val="false"/>
        <w:keepLines w:val="false"/>
        <w:spacing w:after="200" w:line="320"/>
        <w:jc w:val="both"/>
      </w:pPr>
      <w:r>
        <w:rPr>
          <w:rFonts w:ascii="Times New Roman" w:cs="Times New Roman" w:eastAsia="Times New Roman" w:hAnsi="Times New Roman"/>
          <w:b/>
          <w:bCs/>
          <w:sz w:val="22"/>
          <w:szCs w:val="22"/>
        </w:rPr>
        <w:t xml:space="preserve">Rhode Island clinical-use assessment:</w:t>
      </w:r>
      <w:r>
        <w:rPr>
          <w:rFonts w:ascii="Times New Roman" w:cs="Times New Roman" w:eastAsia="Times New Roman" w:hAnsi="Times New Roman"/>
          <w:sz w:val="22"/>
          <w:szCs w:val="22"/>
        </w:rPr>
        <w:t xml:space="preserve"> Administrative logistics exclude therapeutic advice. The Rhode Island credentialed provider retains clinical judgment and reasonable therapeutic oversight. Vendor-controlled system design is a separate responsibility. Preserve those records confidentially under §§ 40.1-5.5-4 and 40.1-5-26. This optional receipt records delivery only.</w:t>
      </w:r>
    </w:p>
    <w:p>
      <w:pPr>
        <w:keepNext w:val="false"/>
        <w:keepLines w:val="false"/>
        <w:spacing w:after="200" w:line="320"/>
        <w:jc w:val="both"/>
      </w:pPr>
      <w:r>
        <w:rPr>
          <w:rFonts w:ascii="Times New Roman" w:cs="Times New Roman" w:eastAsia="Times New Roman" w:hAnsi="Times New Roman"/>
          <w:b/>
          <w:bCs/>
          <w:sz w:val="22"/>
          <w:szCs w:val="22"/>
        </w:rPr>
        <w:t xml:space="preserve">Rhode Island — 2026 H7349A, Title 40.1, Chapter 5.5.</w:t>
      </w:r>
      <w:r>
        <w:rPr>
          <w:rFonts w:ascii="Times New Roman" w:cs="Times New Roman" w:eastAsia="Times New Roman" w:hAnsi="Times New Roman"/>
          <w:sz w:val="22"/>
          <w:szCs w:val="22"/>
        </w:rPr>
        <w:t xml:space="preserve"> Therapy must be conducted by licensed professionals. The law distinguishes permitted support, professional judgment and prohibited independent AI decisions or treatment determination. Direct therapeutic communication requires an established provider relationship and patient consent. Covered recording or transcription involving AI companions requires written AI-use and purpose disclosure and specific consent. Broad terms or passive acceptance are insufficient. Review exclusions and separate companion-safety rules; this receipt does not supply clinical or recording consent.</w:t>
      </w:r>
    </w:p>
    <w:p>
      <w:pPr>
        <w:keepNext w:val="false"/>
        <w:keepLines w:val="false"/>
        <w:spacing w:after="200" w:line="320"/>
        <w:jc w:val="both"/>
      </w:pPr>
      <w:r>
        <w:rPr>
          <w:rFonts w:ascii="Times New Roman" w:cs="Times New Roman" w:eastAsia="Times New Roman" w:hAnsi="Times New Roman"/>
          <w:b/>
          <w:bCs/>
          <w:sz w:val="22"/>
          <w:szCs w:val="22"/>
        </w:rPr>
        <w:t xml:space="preserve">Rhode Island implementation:</w:t>
      </w:r>
      <w:r>
        <w:rPr>
          <w:rFonts w:ascii="Times New Roman" w:cs="Times New Roman" w:eastAsia="Times New Roman" w:hAnsi="Times New Roman"/>
          <w:sz w:val="22"/>
          <w:szCs w:val="22"/>
        </w:rPr>
        <w:t xml:space="preserve"> The listed activity, actual service locations and selected review facts govern this example.</w:t>
      </w:r>
    </w:p>
    <w:p>
      <w:pPr>
        <w:keepNext w:val="false"/>
        <w:keepLines w:val="false"/>
        <w:spacing w:after="200" w:line="320"/>
        <w:jc w:val="both"/>
      </w:pPr>
      <w:r>
        <w:rPr>
          <w:rFonts w:ascii="Times New Roman" w:cs="Times New Roman" w:eastAsia="Times New Roman" w:hAnsi="Times New Roman"/>
          <w:b/>
          <w:bCs/>
          <w:sz w:val="22"/>
          <w:szCs w:val="22"/>
        </w:rPr>
        <w:t xml:space="preserve">Other applicable law and implementation:</w:t>
      </w:r>
      <w:r>
        <w:rPr>
          <w:rFonts w:ascii="Times New Roman" w:cs="Times New Roman" w:eastAsia="Times New Roman" w:hAnsi="Times New Roman"/>
          <w:sz w:val="22"/>
          <w:szCs w:val="22"/>
        </w:rPr>
        <w:t xml:space="preserve"> Synthetic reviewed example and implementation record for the specified service.</w:t>
      </w:r>
    </w:p>
    <w:p>
      <w:pPr>
        <w:keepNext/>
        <w:spacing w:after="120" w:before="300"/>
        <w:jc w:val="left"/>
      </w:pPr>
      <w:r>
        <w:rPr>
          <w:rFonts w:ascii="Times New Roman" w:cs="Times New Roman" w:eastAsia="Times New Roman" w:hAnsi="Times New Roman"/>
          <w:b/>
          <w:bCs/>
          <w:sz w:val="24"/>
          <w:szCs w:val="24"/>
        </w:rPr>
        <w:t xml:space="preserve">Delivery, Questions and Changes</w:t>
      </w:r>
    </w:p>
    <w:p>
      <w:pPr>
        <w:keepNext w:val="false"/>
        <w:keepLines w:val="false"/>
        <w:spacing w:after="200" w:line="320"/>
        <w:jc w:val="both"/>
      </w:pPr>
      <w:r>
        <w:rPr>
          <w:rFonts w:ascii="Times New Roman" w:cs="Times New Roman" w:eastAsia="Times New Roman" w:hAnsi="Times New Roman"/>
          <w:b/>
          <w:bCs/>
          <w:sz w:val="22"/>
          <w:szCs w:val="22"/>
        </w:rPr>
        <w:t xml:space="preserve">Disclosure delivery, recurring notices and evidence:</w:t>
      </w:r>
      <w:r>
        <w:rPr>
          <w:rFonts w:ascii="Times New Roman" w:cs="Times New Roman" w:eastAsia="Times New Roman" w:hAnsi="Times New Roman"/>
          <w:sz w:val="22"/>
          <w:szCs w:val="22"/>
        </w:rPr>
        <w:t xml:space="preserve"> The sample clinic delivers a separate copy of this notice before enabling the selected feature and retains delivery records.</w:t>
      </w:r>
    </w:p>
    <w:p>
      <w:pPr>
        <w:keepNext w:val="false"/>
        <w:keepLines w:val="false"/>
        <w:spacing w:after="200" w:line="320"/>
        <w:jc w:val="both"/>
      </w:pPr>
      <w:r>
        <w:rPr>
          <w:rFonts w:ascii="Times New Roman" w:cs="Times New Roman" w:eastAsia="Times New Roman" w:hAnsi="Times New Roman"/>
          <w:b/>
          <w:bCs/>
          <w:sz w:val="22"/>
          <w:szCs w:val="22"/>
        </w:rPr>
        <w:t xml:space="preserve">Questions, answers and unresolved concerns:</w:t>
      </w:r>
      <w:r>
        <w:rPr>
          <w:rFonts w:ascii="Times New Roman" w:cs="Times New Roman" w:eastAsia="Times New Roman" w:hAnsi="Times New Roman"/>
          <w:sz w:val="22"/>
          <w:szCs w:val="22"/>
        </w:rPr>
        <w:t xml:space="preserve"> Ask the clinical service coordinator for questions about this notice.</w:t>
      </w:r>
    </w:p>
    <w:p>
      <w:pPr>
        <w:keepNext w:val="false"/>
        <w:keepLines w:val="false"/>
        <w:spacing w:after="200" w:line="320"/>
        <w:jc w:val="both"/>
      </w:pPr>
      <w:r>
        <w:rPr>
          <w:rFonts w:ascii="Times New Roman" w:cs="Times New Roman" w:eastAsia="Times New Roman" w:hAnsi="Times New Roman"/>
          <w:b/>
          <w:bCs/>
          <w:sz w:val="22"/>
          <w:szCs w:val="22"/>
        </w:rPr>
        <w:t xml:space="preserve">Copies, complaints, contact and material changes: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Review record:</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Material changes require the applicable updated notices, review and permissions. Continued use does not by itself grant a new permission where affirmative consent is required.</w:t>
      </w:r>
    </w:p>
    <w:p>
      <w:pPr>
        <w:keepNext/>
        <w:spacing w:after="120" w:before="300"/>
        <w:jc w:val="left"/>
      </w:pPr>
      <w:r>
        <w:rPr>
          <w:rFonts w:ascii="Times New Roman" w:cs="Times New Roman" w:eastAsia="Times New Roman" w:hAnsi="Times New Roman"/>
          <w:b/>
          <w:bCs/>
          <w:sz w:val="24"/>
          <w:szCs w:val="24"/>
        </w:rPr>
        <w:t xml:space="preserve">Optional Receipt Only</w:t>
      </w:r>
    </w:p>
    <w:p>
      <w:pPr>
        <w:keepNext w:val="false"/>
        <w:keepLines w:val="false"/>
        <w:spacing w:after="200" w:line="320"/>
        <w:jc w:val="both"/>
      </w:pPr>
      <w:r>
        <w:rPr>
          <w:rFonts w:ascii="Times New Roman" w:cs="Times New Roman" w:eastAsia="Times New Roman" w:hAnsi="Times New Roman"/>
          <w:sz w:val="22"/>
          <w:szCs w:val="22"/>
        </w:rPr>
        <w:t xml:space="preserve">This disclosure contains no negligence release, damages cap, mandatory arbitration clause or class-action waiver. It does not waive statutory, privacy, clinical or other rights. Receipt is not agreement to treatment, recording, model training, marketing, sharing or sale of information. Obtain any required clinical consent or purpose-specific authorization through a separate reviewed process.</w:t>
      </w:r>
    </w:p>
    <w:p>
      <w:pPr>
        <w:keepNext/>
        <w:keepLines/>
        <w:spacing w:after="200" w:line="320"/>
        <w:jc w:val="both"/>
      </w:pPr>
      <w:r>
        <w:rPr>
          <w:rFonts w:ascii="Times New Roman" w:cs="Times New Roman" w:eastAsia="Times New Roman" w:hAnsi="Times New Roman"/>
          <w:sz w:val="22"/>
          <w:szCs w:val="22"/>
        </w:rPr>
        <w:t xml:space="preserve">The signer acknowledges receipt of this version of the disclosure only. The signature does not certify legal compliance, approve every described activity or waive any right.</w:t>
      </w:r>
    </w:p>
    <w:p>
      <w:pPr>
        <w:keepNext/>
        <w:keepLines/>
        <w:spacing w:after="200" w:line="320"/>
        <w:jc w:val="both"/>
      </w:pPr>
      <w:r>
        <w:rPr>
          <w:rFonts w:ascii="Times New Roman" w:cs="Times New Roman" w:eastAsia="Times New Roman" w:hAnsi="Times New Roman"/>
          <w:b/>
          <w:bCs/>
          <w:sz w:val="22"/>
          <w:szCs w:val="22"/>
        </w:rPr>
        <w:t xml:space="preserve">User — Receipt Only</w:t>
      </w:r>
    </w:p>
    <w:p>
      <w:pPr>
        <w:keepNext/>
        <w:keepLines/>
        <w:spacing w:after="60" w:before="180"/>
        <w:jc w:val="left"/>
      </w:pPr>
      <w:bookmarkStart w:name="SIG_us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us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us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Mental-Health App Disclosure and Receipt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7CA0A1C30AA3AB5E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Mental-Health App Disclosure and Receipt</dc:title>
  <dc:creator>Document.com</dc:creator>
  <dc:description>Document.com render • token:7CA0A1C30AA3AB5E</dc:description>
  <cp:lastModifiedBy>Un-named</cp:lastModifiedBy>
  <cp:revision>1</cp:revision>
  <dcterms:created xsi:type="dcterms:W3CDTF">2026-11-03T21:34:08.671Z</dcterms:created>
  <dcterms:modified xsi:type="dcterms:W3CDTF">2026-11-03T21:34:08.671Z</dcterms:modified>
  <dc:subject>dc_token:7CA0A1C30AA3AB5E</dc:subject>
  <cp:keywords>dc_token:7CA0A1C30AA3AB5E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7CA0A1C30AA3AB5E</vt:lpwstr>
  </property>
  <property fmtid="{D5CDD505-2E9C-101B-9397-08002B2CF9AE}" pid="3" name="dc_generator">
    <vt:lpwstr>Document.com</vt:lpwstr>
  </property>
  <property fmtid="{D5CDD505-2E9C-101B-9397-08002B2CF9AE}" pid="4" name="dc_generated_at">
    <vt:lpwstr>2026-11-03T21:34:08.680Z</vt:lpwstr>
  </property>
</Properties>
</file>