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 The separate government consumer interaction uses the interaction time. Health-service timing and a later patient signature do not replace it. Rhode Island telehealth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A601401AD3716D91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token:A601401AD3716D91</dc:description>
  <cp:lastModifiedBy>Un-named</cp:lastModifiedBy>
  <cp:revision>1</cp:revision>
  <dcterms:created xsi:type="dcterms:W3CDTF">2026-11-03T21:40:21.496Z</dcterms:created>
  <dcterms:modified xsi:type="dcterms:W3CDTF">2026-11-03T21:40:21.496Z</dcterms:modified>
  <dc:subject>dc_token:A601401AD3716D91</dc:subject>
  <cp:keywords>dc_token:A601401AD3716D91</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A601401AD3716D91</vt:lpwstr>
  </property>
  <property fmtid="{D5CDD505-2E9C-101B-9397-08002B2CF9AE}" pid="3" name="dc_generator">
    <vt:lpwstr>Document.com</vt:lpwstr>
  </property>
  <property fmtid="{D5CDD505-2E9C-101B-9397-08002B2CF9AE}" pid="4" name="dc_generated_at">
    <vt:lpwstr>2026-11-03T21:40:21.507Z</vt:lpwstr>
  </property>
</Properties>
</file>