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Healthcare Disclosure and Patient Decision</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Decision record for the specific encounter below.</w:t>
      </w:r>
      <w:r>
        <w:rPr>
          <w:rFonts w:ascii="Times New Roman" w:cs="Times New Roman" w:eastAsia="Times New Roman" w:hAnsi="Times New Roman"/>
          <w:sz w:val="22"/>
          <w:szCs w:val="22"/>
        </w:rPr>
        <w:t xml:space="preserve"> Complete the actual discussion and signatures; generating this form does not itself establish informed consent or delivery of a required notice.</w:t>
      </w:r>
    </w:p>
    <w:p>
      <w:pPr>
        <w:keepNext/>
        <w:spacing w:after="120" w:before="300"/>
        <w:jc w:val="left"/>
      </w:pPr>
      <w:r>
        <w:rPr>
          <w:rFonts w:ascii="Times New Roman" w:cs="Times New Roman" w:eastAsia="Times New Roman" w:hAnsi="Times New Roman"/>
          <w:b/>
          <w:bCs/>
          <w:sz w:val="24"/>
          <w:szCs w:val="24"/>
        </w:rPr>
        <w:t xml:space="preserve">Patient and Encounter</w:t>
      </w:r>
    </w:p>
    <w:p>
      <w:pPr>
        <w:keepNext w:val="false"/>
        <w:keepLines w:val="false"/>
        <w:spacing w:after="200" w:line="320"/>
        <w:jc w:val="both"/>
      </w:pPr>
      <w:r>
        <w:rPr>
          <w:rFonts w:ascii="Times New Roman" w:cs="Times New Roman" w:eastAsia="Times New Roman" w:hAnsi="Times New Roman"/>
          <w:b/>
          <w:bCs/>
          <w:sz w:val="22"/>
          <w:szCs w:val="22"/>
        </w:rPr>
        <w:t xml:space="preserve">Provider:</w:t>
      </w:r>
      <w:r>
        <w:rPr>
          <w:rFonts w:ascii="Times New Roman" w:cs="Times New Roman" w:eastAsia="Times New Roman" w:hAnsi="Times New Roman"/>
          <w:sz w:val="22"/>
          <w:szCs w:val="22"/>
        </w:rPr>
        <w:t xml:space="preserve"> Example Clinical Services</w:t>
      </w:r>
    </w:p>
    <w:p>
      <w:pPr>
        <w:keepNext w:val="false"/>
        <w:keepLines w:val="false"/>
        <w:spacing w:after="200" w:line="320"/>
        <w:jc w:val="both"/>
      </w:pPr>
      <w:r>
        <w:rPr>
          <w:rFonts w:ascii="Times New Roman" w:cs="Times New Roman" w:eastAsia="Times New Roman" w:hAnsi="Times New Roman"/>
          <w:b/>
          <w:bCs/>
          <w:sz w:val="22"/>
          <w:szCs w:val="22"/>
        </w:rPr>
        <w:t xml:space="preserve">Address and human contact:</w:t>
      </w:r>
      <w:r>
        <w:rPr>
          <w:rFonts w:ascii="Times New Roman" w:cs="Times New Roman" w:eastAsia="Times New Roman" w:hAnsi="Times New Roman"/>
          <w:sz w:val="22"/>
          <w:szCs w:val="22"/>
        </w:rPr>
        <w:t xml:space="preserve"> Example clinic. Contact the care coordinator for questions.</w:t>
      </w:r>
    </w:p>
    <w:p>
      <w:pPr>
        <w:keepNext w:val="false"/>
        <w:keepLines w:val="false"/>
        <w:spacing w:after="200" w:line="320"/>
        <w:jc w:val="both"/>
      </w:pPr>
      <w:r>
        <w:rPr>
          <w:rFonts w:ascii="Times New Roman" w:cs="Times New Roman" w:eastAsia="Times New Roman" w:hAnsi="Times New Roman"/>
          <w:b/>
          <w:bCs/>
          <w:sz w:val="22"/>
          <w:szCs w:val="22"/>
        </w:rPr>
        <w:t xml:space="preserve">Patient or record identifier:</w:t>
      </w:r>
      <w:r>
        <w:rPr>
          <w:rFonts w:ascii="Times New Roman" w:cs="Times New Roman" w:eastAsia="Times New Roman" w:hAnsi="Times New Roman"/>
          <w:sz w:val="22"/>
          <w:szCs w:val="22"/>
        </w:rPr>
        <w:t xml:space="preserve"> Alex Example</w:t>
      </w:r>
    </w:p>
    <w:p>
      <w:pPr>
        <w:keepNext w:val="false"/>
        <w:keepLines w:val="false"/>
        <w:spacing w:after="200" w:line="320"/>
        <w:jc w:val="both"/>
      </w:pPr>
      <w:r>
        <w:rPr>
          <w:rFonts w:ascii="Times New Roman" w:cs="Times New Roman" w:eastAsia="Times New Roman" w:hAnsi="Times New Roman"/>
          <w:b/>
          <w:bCs/>
          <w:sz w:val="22"/>
          <w:szCs w:val="22"/>
        </w:rPr>
        <w:t xml:space="preserve">Patient/provider locations:</w:t>
      </w:r>
      <w:r>
        <w:rPr>
          <w:rFonts w:ascii="Times New Roman" w:cs="Times New Roman" w:eastAsia="Times New Roman" w:hAnsi="Times New Roman"/>
          <w:sz w:val="22"/>
          <w:szCs w:val="22"/>
        </w:rPr>
        <w:t xml:space="preserve"> Texas-based provider also credentialed in Rhode Island; electronic consultation with a Rhode Island patient.</w:t>
      </w:r>
    </w:p>
    <w:p>
      <w:pPr>
        <w:keepNext w:val="false"/>
        <w:keepLines w:val="false"/>
        <w:spacing w:after="200" w:line="320"/>
        <w:jc w:val="both"/>
      </w:pPr>
      <w:r>
        <w:rPr>
          <w:rFonts w:ascii="Times New Roman" w:cs="Times New Roman" w:eastAsia="Times New Roman" w:hAnsi="Times New Roman"/>
          <w:b/>
          <w:bCs/>
          <w:sz w:val="22"/>
          <w:szCs w:val="22"/>
        </w:rPr>
        <w:t xml:space="preserve">Encounter and intended use:</w:t>
      </w:r>
      <w:r>
        <w:rPr>
          <w:rFonts w:ascii="Times New Roman" w:cs="Times New Roman" w:eastAsia="Times New Roman" w:hAnsi="Times New Roman"/>
          <w:sz w:val="22"/>
          <w:szCs w:val="22"/>
        </w:rPr>
        <w:t xml:space="preserve"> Training example for a single encounter. Review the separately stated first-service and visit facts.</w:t>
      </w:r>
    </w:p>
    <w:p>
      <w:pPr>
        <w:keepNext w:val="false"/>
        <w:keepLines w:val="false"/>
        <w:spacing w:after="200" w:line="320"/>
        <w:jc w:val="both"/>
      </w:pPr>
      <w:r>
        <w:rPr>
          <w:rFonts w:ascii="Times New Roman" w:cs="Times New Roman" w:eastAsia="Times New Roman" w:hAnsi="Times New Roman"/>
          <w:b/>
          <w:bCs/>
          <w:sz w:val="22"/>
          <w:szCs w:val="22"/>
        </w:rPr>
        <w:t xml:space="preserve">Disclosure and decision date:</w:t>
      </w:r>
      <w:r>
        <w:rPr>
          <w:rFonts w:ascii="Times New Roman" w:cs="Times New Roman" w:eastAsia="Times New Roman" w:hAnsi="Times New Roman"/>
          <w:sz w:val="22"/>
          <w:szCs w:val="22"/>
        </w:rPr>
        <w:t xml:space="preserve"> 2026-10-21</w:t>
      </w:r>
    </w:p>
    <w:p>
      <w:pPr>
        <w:keepNext w:val="false"/>
        <w:keepLines w:val="false"/>
        <w:spacing w:after="200" w:line="320"/>
        <w:jc w:val="both"/>
      </w:pPr>
      <w:r>
        <w:rPr>
          <w:rFonts w:ascii="Times New Roman" w:cs="Times New Roman" w:eastAsia="Times New Roman" w:hAnsi="Times New Roman"/>
          <w:sz w:val="22"/>
          <w:szCs w:val="22"/>
        </w:rPr>
        <w:t xml:space="preserve">The patient is the identified decision maker, subject to the capacity and authority verification recorded below.</w:t>
      </w:r>
    </w:p>
    <w:p>
      <w:pPr>
        <w:keepNext w:val="false"/>
        <w:keepLines w:val="false"/>
        <w:spacing w:after="200" w:line="320"/>
        <w:jc w:val="both"/>
      </w:pPr>
      <w:r>
        <w:rPr>
          <w:rFonts w:ascii="Times New Roman" w:cs="Times New Roman" w:eastAsia="Times New Roman" w:hAnsi="Times New Roman"/>
          <w:b/>
          <w:bCs/>
          <w:sz w:val="22"/>
          <w:szCs w:val="22"/>
        </w:rPr>
        <w:t xml:space="preserve">Capacity/authority review status:</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Tool, Intended Use and Human Role</w:t>
      </w:r>
    </w:p>
    <w:p>
      <w:pPr>
        <w:keepNext w:val="false"/>
        <w:keepLines w:val="false"/>
        <w:spacing w:after="200" w:line="320"/>
        <w:jc w:val="both"/>
      </w:pPr>
      <w:r>
        <w:rPr>
          <w:rFonts w:ascii="Times New Roman" w:cs="Times New Roman" w:eastAsia="Times New Roman" w:hAnsi="Times New Roman"/>
          <w:b/>
          <w:bCs/>
          <w:sz w:val="22"/>
          <w:szCs w:val="22"/>
        </w:rPr>
        <w:t xml:space="preserve">Tool/version:</w:t>
      </w:r>
      <w:r>
        <w:rPr>
          <w:rFonts w:ascii="Times New Roman" w:cs="Times New Roman" w:eastAsia="Times New Roman" w:hAnsi="Times New Roman"/>
          <w:sz w:val="22"/>
          <w:szCs w:val="22"/>
        </w:rPr>
        <w:t xml:space="preserve"> Example note assistant</w:t>
      </w:r>
    </w:p>
    <w:p>
      <w:pPr>
        <w:keepNext w:val="false"/>
        <w:keepLines w:val="false"/>
        <w:spacing w:after="200" w:line="320"/>
        <w:jc w:val="both"/>
      </w:pPr>
      <w:r>
        <w:rPr>
          <w:rFonts w:ascii="Times New Roman" w:cs="Times New Roman" w:eastAsia="Times New Roman" w:hAnsi="Times New Roman"/>
          <w:b/>
          <w:bCs/>
          <w:sz w:val="22"/>
          <w:szCs w:val="22"/>
        </w:rPr>
        <w:t xml:space="preserve">Manufacturer or service provider:</w:t>
      </w:r>
      <w:r>
        <w:rPr>
          <w:rFonts w:ascii="Times New Roman" w:cs="Times New Roman" w:eastAsia="Times New Roman" w:hAnsi="Times New Roman"/>
          <w:sz w:val="22"/>
          <w:szCs w:val="22"/>
        </w:rPr>
        <w:t xml:space="preserve"> Example Systems</w:t>
      </w:r>
    </w:p>
    <w:p>
      <w:pPr>
        <w:keepNext w:val="false"/>
        <w:keepLines w:val="false"/>
        <w:spacing w:after="200" w:line="320"/>
        <w:jc w:val="both"/>
      </w:pPr>
      <w:r>
        <w:rPr>
          <w:rFonts w:ascii="Times New Roman" w:cs="Times New Roman" w:eastAsia="Times New Roman" w:hAnsi="Times New Roman"/>
          <w:b/>
          <w:bCs/>
          <w:sz w:val="22"/>
          <w:szCs w:val="22"/>
        </w:rPr>
        <w:t xml:space="preserve">Function in this encounter:</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Selected role:</w:t>
      </w:r>
      <w:r>
        <w:rPr>
          <w:rFonts w:ascii="Times New Roman" w:cs="Times New Roman" w:eastAsia="Times New Roman" w:hAnsi="Times New Roman"/>
          <w:sz w:val="22"/>
          <w:szCs w:val="22"/>
        </w:rPr>
        <w:t xml:space="preserve"> Documentation</w:t>
      </w:r>
    </w:p>
    <w:p>
      <w:pPr>
        <w:keepNext w:val="false"/>
        <w:keepLines w:val="false"/>
        <w:spacing w:after="200" w:line="320"/>
        <w:jc w:val="both"/>
      </w:pPr>
      <w:r>
        <w:rPr>
          <w:rFonts w:ascii="Times New Roman" w:cs="Times New Roman" w:eastAsia="Times New Roman" w:hAnsi="Times New Roman"/>
          <w:b/>
          <w:bCs/>
          <w:sz w:val="22"/>
          <w:szCs w:val="22"/>
        </w:rPr>
        <w:t xml:space="preserve">Actual human review, timing, limits and escalation:</w:t>
      </w:r>
      <w:r>
        <w:rPr>
          <w:rFonts w:ascii="Times New Roman" w:cs="Times New Roman" w:eastAsia="Times New Roman" w:hAnsi="Times New Roman"/>
          <w:sz w:val="22"/>
          <w:szCs w:val="22"/>
        </w:rPr>
        <w:t xml:space="preserve"> The treating professional reviews the use and is available to discuss alternatives.</w:t>
      </w:r>
    </w:p>
    <w:p>
      <w:pPr>
        <w:keepNext w:val="false"/>
        <w:keepLines w:val="false"/>
        <w:spacing w:after="200" w:line="320"/>
        <w:jc w:val="both"/>
      </w:pPr>
      <w:r>
        <w:rPr>
          <w:rFonts w:ascii="Times New Roman" w:cs="Times New Roman" w:eastAsia="Times New Roman" w:hAnsi="Times New Roman"/>
          <w:b/>
          <w:bCs/>
          <w:sz w:val="22"/>
          <w:szCs w:val="22"/>
        </w:rPr>
        <w:t xml:space="preserve">Verified regulatory pathway:</w:t>
      </w:r>
      <w:r>
        <w:rPr>
          <w:rFonts w:ascii="Times New Roman" w:cs="Times New Roman" w:eastAsia="Times New Roman" w:hAnsi="Times New Roman"/>
          <w:sz w:val="22"/>
          <w:szCs w:val="22"/>
        </w:rPr>
        <w:t xml:space="preserve"> Not Device</w:t>
      </w:r>
    </w:p>
    <w:p>
      <w:pPr>
        <w:keepNext w:val="false"/>
        <w:keepLines w:val="false"/>
        <w:spacing w:after="200" w:line="320"/>
        <w:jc w:val="both"/>
      </w:pPr>
      <w:r>
        <w:rPr>
          <w:rFonts w:ascii="Times New Roman" w:cs="Times New Roman" w:eastAsia="Times New Roman" w:hAnsi="Times New Roman"/>
          <w:b/>
          <w:bCs/>
          <w:sz w:val="22"/>
          <w:szCs w:val="22"/>
        </w:rPr>
        <w:t xml:space="preserve">Regulatory evidence and intended-use limits: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FDA clearance, De Novo authorization and PMA approval are distinct pathways. De Novo classification may be Class I or Class II; special controls are not universal. A non-device or exempt determination needs a basis specific to the function and use. An authorization does not guarantee an outcome, establish this patient's consent, or permit uses outside applicable restrictions. Investigational use can require separate research, device and consent procedures that this form does not supply.</w:t>
      </w:r>
    </w:p>
    <w:p>
      <w:pPr>
        <w:keepNext/>
        <w:spacing w:after="120" w:before="300"/>
        <w:jc w:val="left"/>
      </w:pPr>
      <w:r>
        <w:rPr>
          <w:rFonts w:ascii="Times New Roman" w:cs="Times New Roman" w:eastAsia="Times New Roman" w:hAnsi="Times New Roman"/>
          <w:b/>
          <w:bCs/>
          <w:sz w:val="24"/>
          <w:szCs w:val="24"/>
        </w:rPr>
        <w:t xml:space="preserve">Benefits, Risks and Alternatives</w:t>
      </w:r>
    </w:p>
    <w:p>
      <w:pPr>
        <w:keepNext w:val="false"/>
        <w:keepLines w:val="false"/>
        <w:spacing w:after="200" w:line="320"/>
        <w:jc w:val="both"/>
      </w:pPr>
      <w:r>
        <w:rPr>
          <w:rFonts w:ascii="Times New Roman" w:cs="Times New Roman" w:eastAsia="Times New Roman" w:hAnsi="Times New Roman"/>
          <w:b/>
          <w:bCs/>
          <w:sz w:val="22"/>
          <w:szCs w:val="22"/>
        </w:rPr>
        <w:t xml:space="preserve">Expected benefits and evidence for this patient:</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Material risks, limitations and uncertainty:</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AI can produce incorrect or incomplete results. Generative output may appear persuasive even when inaccurate; that does not mean every system always hides uncertainty. The relevant errors, population performance limits and consequences depend on the actual tool and patient. The explanation above must address this use, rather than substitute generic warnings for material clinical facts.</w:t>
      </w:r>
    </w:p>
    <w:p>
      <w:pPr>
        <w:keepNext w:val="false"/>
        <w:keepLines w:val="false"/>
        <w:spacing w:after="200" w:line="320"/>
        <w:jc w:val="both"/>
      </w:pPr>
      <w:r>
        <w:rPr>
          <w:rFonts w:ascii="Times New Roman" w:cs="Times New Roman" w:eastAsia="Times New Roman" w:hAnsi="Times New Roman"/>
          <w:b/>
          <w:bCs/>
          <w:sz w:val="22"/>
          <w:szCs w:val="22"/>
        </w:rPr>
        <w:t xml:space="preserve">Actual alternatives, access/cost limits and consequences of declining:</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This form does not promise an equivalent non-AI service or a referral that the provider has not arranged. Discuss available options and any applicable patient rights without pressure or misleading assurances.</w:t>
      </w:r>
    </w:p>
    <w:p>
      <w:pPr>
        <w:keepNext/>
        <w:spacing w:after="120" w:before="300"/>
        <w:jc w:val="left"/>
      </w:pPr>
      <w:r>
        <w:rPr>
          <w:rFonts w:ascii="Times New Roman" w:cs="Times New Roman" w:eastAsia="Times New Roman" w:hAnsi="Times New Roman"/>
          <w:b/>
          <w:bCs/>
          <w:sz w:val="24"/>
          <w:szCs w:val="24"/>
        </w:rPr>
        <w:t xml:space="preserve">Patient Information and Separate Permissions</w:t>
      </w:r>
    </w:p>
    <w:p>
      <w:pPr>
        <w:keepNext w:val="false"/>
        <w:keepLines w:val="false"/>
        <w:spacing w:after="200" w:line="320"/>
        <w:jc w:val="both"/>
      </w:pPr>
      <w:r>
        <w:rPr>
          <w:rFonts w:ascii="Times New Roman" w:cs="Times New Roman" w:eastAsia="Times New Roman" w:hAnsi="Times New Roman"/>
          <w:b/>
          <w:bCs/>
          <w:sz w:val="22"/>
          <w:szCs w:val="22"/>
        </w:rPr>
        <w:t xml:space="preserve">HIPAA applicability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Data, sources, recipients, processing and retention:</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Purpose-specific legal bases and restrictions: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Business associate agreement assessment:</w:t>
      </w:r>
      <w:r>
        <w:rPr>
          <w:rFonts w:ascii="Times New Roman" w:cs="Times New Roman" w:eastAsia="Times New Roman" w:hAnsi="Times New Roman"/>
          <w:sz w:val="22"/>
          <w:szCs w:val="22"/>
        </w:rPr>
        <w:t xml:space="preserve"> Not Required</w:t>
      </w:r>
    </w:p>
    <w:p>
      <w:pPr>
        <w:keepNext w:val="false"/>
        <w:keepLines w:val="false"/>
        <w:spacing w:after="200" w:line="320"/>
        <w:jc w:val="both"/>
      </w:pPr>
      <w:r>
        <w:rPr>
          <w:rFonts w:ascii="Times New Roman" w:cs="Times New Roman" w:eastAsia="Times New Roman" w:hAnsi="Times New Roman"/>
          <w:b/>
          <w:bCs/>
          <w:sz w:val="22"/>
          <w:szCs w:val="22"/>
        </w:rPr>
        <w:t xml:space="preserve">Agreement or non-requirement evidence:</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The provider reports no model-training or other secondary purpose within the processing described here. A later change requires a fresh purpose, permission and disclosure review.</w:t>
      </w:r>
    </w:p>
    <w:p>
      <w:pPr>
        <w:keepNext w:val="false"/>
        <w:keepLines w:val="false"/>
        <w:spacing w:after="200" w:line="320"/>
        <w:jc w:val="both"/>
      </w:pPr>
      <w:r>
        <w:rPr>
          <w:rFonts w:ascii="Times New Roman" w:cs="Times New Roman" w:eastAsia="Times New Roman" w:hAnsi="Times New Roman"/>
          <w:b/>
          <w:bCs/>
          <w:sz w:val="22"/>
          <w:szCs w:val="22"/>
        </w:rPr>
        <w:t xml:space="preserve">Privacy review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Privacy, recording and safeguards review record:</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This form is </w:t>
      </w:r>
      <w:r>
        <w:rPr>
          <w:rFonts w:ascii="Times New Roman" w:cs="Times New Roman" w:eastAsia="Times New Roman" w:hAnsi="Times New Roman"/>
          <w:b/>
          <w:bCs/>
          <w:sz w:val="22"/>
          <w:szCs w:val="22"/>
        </w:rPr>
        <w:t xml:space="preserve">not a HIPAA authorization</w:t>
      </w:r>
      <w:r>
        <w:rPr>
          <w:rFonts w:ascii="Times New Roman" w:cs="Times New Roman" w:eastAsia="Times New Roman" w:hAnsi="Times New Roman"/>
          <w:sz w:val="22"/>
          <w:szCs w:val="22"/>
        </w:rPr>
        <w:t xml:space="preserve"> or a general recording, research, marketing, sale or model-training permission. HIPAA permits some uses and disclosures without individual authorization under specified conditions; treatment/payment/operations are not the only bases. Research may, for example, involve a qualifying waiver or a limited data set with a data use agreement. Whether a particular AI activity fits a permitted basis depends on its purpose, parties and information. When authorization is required, obtain a valid separate authorization. A BAA alone does not make an otherwise impermissible use lawful, and state or other federal rules can add requirements.</w:t>
      </w:r>
    </w:p>
    <w:p>
      <w:pPr>
        <w:keepNext/>
        <w:spacing w:after="120" w:before="300"/>
        <w:jc w:val="left"/>
      </w:pPr>
      <w:r>
        <w:rPr>
          <w:rFonts w:ascii="Times New Roman" w:cs="Times New Roman" w:eastAsia="Times New Roman" w:hAnsi="Times New Roman"/>
          <w:b/>
          <w:bCs/>
          <w:sz w:val="24"/>
          <w:szCs w:val="24"/>
        </w:rPr>
        <w:t xml:space="preserve">Selected Legal and Delivery Review</w:t>
      </w:r>
    </w:p>
    <w:p>
      <w:pPr>
        <w:keepNext w:val="false"/>
        <w:keepLines w:val="false"/>
        <w:spacing w:after="200" w:line="320"/>
        <w:jc w:val="both"/>
      </w:pPr>
      <w:r>
        <w:rPr>
          <w:rFonts w:ascii="Times New Roman" w:cs="Times New Roman" w:eastAsia="Times New Roman" w:hAnsi="Times New Roman"/>
          <w:sz w:val="22"/>
          <w:szCs w:val="22"/>
        </w:rPr>
        <w:t xml:space="preserve">The following are selected requirements and implementation records, not a complete survey of every applicable law. A form in a chart does not replace a required spoken disclosure, message disclaimer, notice delivered at the proper time, or actual operational controls.</w:t>
      </w:r>
    </w:p>
    <w:p>
      <w:pPr>
        <w:keepNext w:val="false"/>
        <w:keepLines w:val="false"/>
        <w:spacing w:after="200" w:line="320"/>
        <w:jc w:val="both"/>
      </w:pPr>
      <w:r>
        <w:rPr>
          <w:rFonts w:ascii="Times New Roman" w:cs="Times New Roman" w:eastAsia="Times New Roman" w:hAnsi="Times New Roman"/>
          <w:b/>
          <w:bCs/>
          <w:sz w:val="22"/>
          <w:szCs w:val="22"/>
        </w:rPr>
        <w:t xml:space="preserve">Texas.</w:t>
      </w:r>
      <w:r>
        <w:rPr>
          <w:rFonts w:ascii="Times New Roman" w:cs="Times New Roman" w:eastAsia="Times New Roman" w:hAnsi="Times New Roman"/>
          <w:sz w:val="22"/>
          <w:szCs w:val="22"/>
        </w:rPr>
        <w:t xml:space="preserve"> HB149, effective January 1, 2026, requires covered healthcare AI disclosure to the recipient or personal representative no later than the first date the service or treatment is provided; emergency care allows disclosure as soon as reasonably possible. The notice must meet the statutory clarity and presentation requirements. This does not replace applicable medical-treatment consent or other privacy duties.</w:t>
      </w:r>
    </w:p>
    <w:p>
      <w:pPr>
        <w:keepNext w:val="false"/>
        <w:keepLines w:val="false"/>
        <w:spacing w:after="200" w:line="320"/>
        <w:jc w:val="both"/>
      </w:pPr>
      <w:r>
        <w:rPr>
          <w:rFonts w:ascii="Times New Roman" w:cs="Times New Roman" w:eastAsia="Times New Roman" w:hAnsi="Times New Roman"/>
          <w:b/>
          <w:bCs/>
          <w:sz w:val="22"/>
          <w:szCs w:val="22"/>
        </w:rPr>
        <w:t xml:space="preserve">Texas implementation:</w:t>
      </w:r>
      <w:r>
        <w:rPr>
          <w:rFonts w:ascii="Times New Roman" w:cs="Times New Roman" w:eastAsia="Times New Roman" w:hAnsi="Times New Roman"/>
          <w:sz w:val="22"/>
          <w:szCs w:val="22"/>
        </w:rPr>
        <w:t xml:space="preserve"> The provider deploys its tool in Texas and serves Texas residents.</w:t>
      </w:r>
    </w:p>
    <w:p>
      <w:pPr>
        <w:keepNext w:val="false"/>
        <w:keepLines w:val="false"/>
        <w:spacing w:after="200" w:line="320"/>
        <w:jc w:val="both"/>
      </w:pPr>
      <w:r>
        <w:rPr>
          <w:rFonts w:ascii="Times New Roman" w:cs="Times New Roman" w:eastAsia="Times New Roman" w:hAnsi="Times New Roman"/>
          <w:b/>
          <w:bCs/>
          <w:sz w:val="22"/>
          <w:szCs w:val="22"/>
        </w:rPr>
        <w:t xml:space="preserve">Rhode Island.</w:t>
      </w:r>
      <w:r>
        <w:rPr>
          <w:rFonts w:ascii="Times New Roman" w:cs="Times New Roman" w:eastAsia="Times New Roman" w:hAnsi="Times New Roman"/>
          <w:sz w:val="22"/>
          <w:szCs w:val="22"/>
        </w:rPr>
        <w:t xml:space="preserve"> The 2026 AI healthcare visit notification law, Title 23, Chapter 108 (§ 23-108-3, 2026 Public Law 199), requires covered providers and facilities using AI to document in-person or telehealth visits to notify patients of that purpose and review the generated documentation for accuracy after the visit. The statutory text does not by itself establish a universal opt-out right; review other consent, recording and patient-rights requirements separately.</w:t>
      </w:r>
    </w:p>
    <w:p>
      <w:pPr>
        <w:keepNext w:val="false"/>
        <w:keepLines w:val="false"/>
        <w:spacing w:after="200" w:line="320"/>
        <w:jc w:val="both"/>
      </w:pPr>
      <w:r>
        <w:rPr>
          <w:rFonts w:ascii="Times New Roman" w:cs="Times New Roman" w:eastAsia="Times New Roman" w:hAnsi="Times New Roman"/>
          <w:b/>
          <w:bCs/>
          <w:sz w:val="22"/>
          <w:szCs w:val="22"/>
        </w:rPr>
        <w:t xml:space="preserve">Rhode Island implementation:</w:t>
      </w:r>
      <w:r>
        <w:rPr>
          <w:rFonts w:ascii="Times New Roman" w:cs="Times New Roman" w:eastAsia="Times New Roman" w:hAnsi="Times New Roman"/>
          <w:sz w:val="22"/>
          <w:szCs w:val="22"/>
        </w:rPr>
        <w:t xml:space="preserve"> Rhode Island physician used an automated scribe during this visit.</w:t>
      </w:r>
    </w:p>
    <w:p>
      <w:pPr>
        <w:keepNext w:val="false"/>
        <w:keepLines w:val="false"/>
        <w:spacing w:after="200" w:line="320"/>
        <w:jc w:val="both"/>
      </w:pPr>
      <w:r>
        <w:rPr>
          <w:rFonts w:ascii="Times New Roman" w:cs="Times New Roman" w:eastAsia="Times New Roman" w:hAnsi="Times New Roman"/>
          <w:b/>
          <w:bCs/>
          <w:sz w:val="22"/>
          <w:szCs w:val="22"/>
        </w:rPr>
        <w:t xml:space="preserve">Other applicable requirements and review:</w:t>
      </w:r>
      <w:r>
        <w:rPr>
          <w:rFonts w:ascii="Times New Roman" w:cs="Times New Roman" w:eastAsia="Times New Roman" w:hAnsi="Times New Roman"/>
          <w:sz w:val="22"/>
          <w:szCs w:val="22"/>
        </w:rPr>
        <w:t xml:space="preserve"> Synthetic example for the stated patient encounter.</w:t>
      </w:r>
    </w:p>
    <w:p>
      <w:pPr>
        <w:keepNext/>
        <w:spacing w:after="120" w:before="300"/>
        <w:jc w:val="left"/>
      </w:pPr>
      <w:r>
        <w:rPr>
          <w:rFonts w:ascii="Times New Roman" w:cs="Times New Roman" w:eastAsia="Times New Roman" w:hAnsi="Times New Roman"/>
          <w:b/>
          <w:bCs/>
          <w:sz w:val="24"/>
          <w:szCs w:val="24"/>
        </w:rPr>
        <w:t xml:space="preserve">California Clinical Decision Support Governance</w:t>
      </w:r>
    </w:p>
    <w:p>
      <w:pPr>
        <w:keepNext w:val="false"/>
        <w:keepLines w:val="false"/>
        <w:spacing w:after="200" w:line="320"/>
        <w:jc w:val="both"/>
      </w:pPr>
      <w:r>
        <w:rPr>
          <w:rFonts w:ascii="Times New Roman" w:cs="Times New Roman" w:eastAsia="Times New Roman" w:hAnsi="Times New Roman"/>
          <w:b/>
          <w:bCs/>
          <w:sz w:val="22"/>
          <w:szCs w:val="22"/>
        </w:rPr>
        <w:t xml:space="preserve">Independent SB503 scope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Actual scope and review basis: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Governance review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sz w:val="22"/>
          <w:szCs w:val="22"/>
        </w:rPr>
        <w:t xml:space="preserve">The recorded assessment places this workflow outside the reviewed SB503 scope. Retain the actual basis and reassess material changes; this choice is not a general California-law exemption.</w:t>
      </w:r>
    </w:p>
    <w:p>
      <w:pPr>
        <w:keepNext w:val="false"/>
        <w:keepLines w:val="false"/>
        <w:spacing w:after="200" w:line="320"/>
        <w:jc w:val="both"/>
      </w:pPr>
      <w:r>
        <w:rPr>
          <w:rFonts w:ascii="Times New Roman" w:cs="Times New Roman" w:eastAsia="Times New Roman" w:hAnsi="Times New Roman"/>
          <w:sz w:val="22"/>
          <w:szCs w:val="22"/>
        </w:rPr>
        <w:t xml:space="preserve">A completed review can document a future implementation plan before an effective date; it must not describe planned controls as already operating. This patient decision record does not perform vendor diligence, bias testing, monitoring or mitigation. Patient agreement, refusal or a signature cannot waive or substitute for provider/developer duties, and these operational records do not authorize treatment or secondary data use.</w:t>
      </w:r>
    </w:p>
    <w:p>
      <w:pPr>
        <w:keepNext/>
        <w:spacing w:after="120" w:before="300"/>
        <w:jc w:val="left"/>
      </w:pPr>
      <w:r>
        <w:rPr>
          <w:rFonts w:ascii="Times New Roman" w:cs="Times New Roman" w:eastAsia="Times New Roman" w:hAnsi="Times New Roman"/>
          <w:b/>
          <w:bCs/>
          <w:sz w:val="24"/>
          <w:szCs w:val="24"/>
        </w:rPr>
        <w:t xml:space="preserve">Encounter-specific disclosure record</w:t>
      </w:r>
    </w:p>
    <w:p>
      <w:pPr>
        <w:keepNext w:val="false"/>
        <w:keepLines w:val="false"/>
        <w:spacing w:after="200" w:line="320"/>
        <w:jc w:val="both"/>
      </w:pPr>
      <w:r>
        <w:rPr>
          <w:rFonts w:ascii="Times New Roman" w:cs="Times New Roman" w:eastAsia="Times New Roman" w:hAnsi="Times New Roman"/>
          <w:sz w:val="22"/>
          <w:szCs w:val="22"/>
        </w:rPr>
        <w:t xml:space="preserve">First covered service date supplied: 2026-10-21. Disclosure date supplied: 2026-10-20; recipient selected: person receiving the service. Texas health service: notice to the recipient or verified personal representative is due by the date of first service. Rhode Island in-person visit date supplied: 2026-10-21. The provider reports giving notice that AI is used to document this visit. Postvisit review reported complete. Record: The sample physician opened and reviewed the draft clinical note after the encounter. No patient identifiers are included.. Rhode Island visit documentation: an accuracy review is required after the visit. The patient decision and signature do not complete it.</w:t>
      </w:r>
    </w:p>
    <w:p>
      <w:pPr>
        <w:keepNext/>
        <w:spacing w:after="120" w:before="300"/>
        <w:jc w:val="left"/>
      </w:pPr>
      <w:r>
        <w:rPr>
          <w:rFonts w:ascii="Times New Roman" w:cs="Times New Roman" w:eastAsia="Times New Roman" w:hAnsi="Times New Roman"/>
          <w:b/>
          <w:bCs/>
          <w:sz w:val="24"/>
          <w:szCs w:val="24"/>
        </w:rPr>
        <w:t xml:space="preserve">Questions, Choice and Next Steps</w:t>
      </w:r>
    </w:p>
    <w:p>
      <w:pPr>
        <w:keepNext w:val="false"/>
        <w:keepLines w:val="false"/>
        <w:spacing w:after="200" w:line="320"/>
        <w:jc w:val="both"/>
      </w:pPr>
      <w:r>
        <w:rPr>
          <w:rFonts w:ascii="Times New Roman" w:cs="Times New Roman" w:eastAsia="Times New Roman" w:hAnsi="Times New Roman"/>
          <w:b/>
          <w:bCs/>
          <w:sz w:val="22"/>
          <w:szCs w:val="22"/>
        </w:rPr>
        <w:t xml:space="preserve">Questions, responses and unresolved concerns:</w:t>
      </w:r>
      <w:r>
        <w:rPr>
          <w:rFonts w:ascii="Times New Roman" w:cs="Times New Roman" w:eastAsia="Times New Roman" w:hAnsi="Times New Roman"/>
          <w:sz w:val="22"/>
          <w:szCs w:val="22"/>
        </w:rPr>
        <w:t xml:space="preserve"> The patient asked about how the identified tool is used.</w:t>
      </w:r>
    </w:p>
    <w:p>
      <w:pPr>
        <w:keepNext w:val="false"/>
        <w:keepLines w:val="false"/>
        <w:spacing w:after="200" w:line="320"/>
        <w:jc w:val="both"/>
      </w:pPr>
      <w:r>
        <w:rPr>
          <w:rFonts w:ascii="Times New Roman" w:cs="Times New Roman" w:eastAsia="Times New Roman" w:hAnsi="Times New Roman"/>
          <w:b/>
          <w:bCs/>
          <w:sz w:val="22"/>
          <w:szCs w:val="22"/>
        </w:rPr>
        <w:t xml:space="preserve">Discussion completion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Recorded choice: agree.</w:t>
      </w:r>
      <w:r>
        <w:rPr>
          <w:rFonts w:ascii="Times New Roman" w:cs="Times New Roman" w:eastAsia="Times New Roman" w:hAnsi="Times New Roman"/>
          <w:sz w:val="22"/>
          <w:szCs w:val="22"/>
        </w:rPr>
        <w:t xml:space="preserve"> Subject to the completed discussion, identified authority and signatures, the decision maker agrees to the specific clinical AI use described in this form. This choice does not approve unrelated treatment or secondary data use.</w:t>
      </w:r>
    </w:p>
    <w:p>
      <w:pPr>
        <w:keepNext w:val="false"/>
        <w:keepLines w:val="false"/>
        <w:spacing w:after="200" w:line="320"/>
        <w:jc w:val="both"/>
      </w:pPr>
      <w:r>
        <w:rPr>
          <w:rFonts w:ascii="Times New Roman" w:cs="Times New Roman" w:eastAsia="Times New Roman" w:hAnsi="Times New Roman"/>
          <w:b/>
          <w:bCs/>
          <w:sz w:val="22"/>
          <w:szCs w:val="22"/>
        </w:rPr>
        <w:t xml:space="preserve">Human contact, change/withdrawal, copy and retention process: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Person explaining the tool:</w:t>
      </w:r>
      <w:r>
        <w:rPr>
          <w:rFonts w:ascii="Times New Roman" w:cs="Times New Roman" w:eastAsia="Times New Roman" w:hAnsi="Times New Roman"/>
          <w:sz w:val="22"/>
          <w:szCs w:val="22"/>
        </w:rPr>
        <w:t xml:space="preserve"> Casey Example MD, Example treating physician</w:t>
      </w:r>
    </w:p>
    <w:p>
      <w:pPr>
        <w:keepNext w:val="false"/>
        <w:keepLines w:val="false"/>
        <w:spacing w:after="200" w:line="320"/>
        <w:jc w:val="both"/>
      </w:pPr>
      <w:r>
        <w:rPr>
          <w:rFonts w:ascii="Times New Roman" w:cs="Times New Roman" w:eastAsia="Times New Roman" w:hAnsi="Times New Roman"/>
          <w:b/>
          <w:bCs/>
          <w:sz w:val="22"/>
          <w:szCs w:val="22"/>
        </w:rPr>
        <w:t xml:space="preserve">Clinical/legal review and notice-delivery record:</w:t>
      </w:r>
      <w:r>
        <w:rPr>
          <w:rFonts w:ascii="Times New Roman" w:cs="Times New Roman" w:eastAsia="Times New Roman" w:hAnsi="Times New Roman"/>
          <w:sz w:val="22"/>
          <w:szCs w:val="22"/>
        </w:rPr>
        <w:t xml:space="preserve"> Example only. For actual care, document actual provider notification, who received it and the applicable follow-up.</w:t>
      </w:r>
    </w:p>
    <w:p>
      <w:pPr>
        <w:keepNext/>
        <w:spacing w:after="120" w:before="300"/>
        <w:jc w:val="left"/>
      </w:pPr>
      <w:r>
        <w:rPr>
          <w:rFonts w:ascii="Times New Roman" w:cs="Times New Roman" w:eastAsia="Times New Roman" w:hAnsi="Times New Roman"/>
          <w:b/>
          <w:bCs/>
          <w:sz w:val="24"/>
          <w:szCs w:val="24"/>
        </w:rPr>
        <w:t xml:space="preserve">Limits and Decision Record</w:t>
      </w:r>
    </w:p>
    <w:p>
      <w:pPr>
        <w:keepNext w:val="false"/>
        <w:keepLines w:val="false"/>
        <w:spacing w:after="200" w:line="320"/>
        <w:jc w:val="both"/>
      </w:pPr>
      <w:r>
        <w:rPr>
          <w:rFonts w:ascii="Times New Roman" w:cs="Times New Roman" w:eastAsia="Times New Roman" w:hAnsi="Times New Roman"/>
          <w:sz w:val="22"/>
          <w:szCs w:val="22"/>
        </w:rPr>
        <w:t xml:space="preserve">Nothing in this form waives or limits malpractice, negligence, product-liability or other nonwaivable rights. It does not allocate liability among the provider, clinician and vendor. Existing clinical and professional duties remain governed by applicable law. No choice of the provider's home state excludes other mandatory law. Material changes in the tool, purpose, risks or data processing require renewed review and any legally required disclosure or consent.</w:t>
      </w:r>
    </w:p>
    <w:p>
      <w:pPr>
        <w:keepNext/>
        <w:keepLines/>
        <w:spacing w:after="200" w:line="320"/>
        <w:jc w:val="both"/>
      </w:pPr>
      <w:r>
        <w:rPr>
          <w:rFonts w:ascii="Times New Roman" w:cs="Times New Roman" w:eastAsia="Times New Roman" w:hAnsi="Times New Roman"/>
          <w:sz w:val="22"/>
          <w:szCs w:val="22"/>
        </w:rPr>
        <w:t xml:space="preserve">The decision maker confirms the choice recorded above for the described encounter after the documented explanation. The signature is not a blanket certification that every legal requirement has been met.</w:t>
      </w:r>
    </w:p>
    <w:p>
      <w:pPr>
        <w:keepNext/>
        <w:keepLines/>
        <w:spacing w:after="200" w:line="320"/>
        <w:jc w:val="both"/>
      </w:pPr>
      <w:r>
        <w:rPr>
          <w:rFonts w:ascii="Times New Roman" w:cs="Times New Roman" w:eastAsia="Times New Roman" w:hAnsi="Times New Roman"/>
          <w:b/>
          <w:bCs/>
          <w:sz w:val="22"/>
          <w:szCs w:val="22"/>
        </w:rPr>
        <w:t xml:space="preserve">Patient — Recorded Decision</w:t>
      </w:r>
    </w:p>
    <w:p>
      <w:pPr>
        <w:keepNext/>
        <w:keepLines/>
        <w:spacing w:after="60" w:before="180"/>
        <w:jc w:val="left"/>
      </w:pPr>
      <w:bookmarkStart w:name="SIG_patient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patient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patient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sz w:val="22"/>
          <w:szCs w:val="22"/>
        </w:rPr>
        <w:t xml:space="preserve">The person explaining the tool confirms that this record accurately describes the explanation and decision documented for this encounter, within their actual role.</w:t>
      </w:r>
    </w:p>
    <w:p>
      <w:pPr>
        <w:keepNext/>
        <w:keepLines/>
        <w:spacing w:after="200" w:line="320"/>
        <w:jc w:val="both"/>
      </w:pPr>
      <w:r>
        <w:rPr>
          <w:rFonts w:ascii="Times New Roman" w:cs="Times New Roman" w:eastAsia="Times New Roman" w:hAnsi="Times New Roman"/>
          <w:b/>
          <w:bCs/>
          <w:sz w:val="22"/>
          <w:szCs w:val="22"/>
        </w:rPr>
        <w:t xml:space="preserve">Person Who Explained the Tool</w:t>
      </w:r>
    </w:p>
    <w:p>
      <w:pPr>
        <w:keepNext/>
        <w:keepLines/>
        <w:spacing w:after="60" w:before="180"/>
        <w:jc w:val="left"/>
      </w:pPr>
      <w:bookmarkStart w:name="SIG_clinician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clinician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clinician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Healthcare Disclosure and Patient Decision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BF708FF8F0D42C31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Healthcare Disclosure and Patient Decision</dc:title>
  <dc:creator>Document.com</dc:creator>
  <dc:description>Document.com render • token:BF708FF8F0D42C31</dc:description>
  <cp:lastModifiedBy>Un-named</cp:lastModifiedBy>
  <cp:revision>1</cp:revision>
  <dcterms:created xsi:type="dcterms:W3CDTF">2026-11-03T21:40:26.281Z</dcterms:created>
  <dcterms:modified xsi:type="dcterms:W3CDTF">2026-11-03T21:40:26.281Z</dcterms:modified>
  <dc:subject>dc_token:BF708FF8F0D42C31</dc:subject>
  <cp:keywords>dc_token:BF708FF8F0D42C31</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BF708FF8F0D42C31</vt:lpwstr>
  </property>
  <property fmtid="{D5CDD505-2E9C-101B-9397-08002B2CF9AE}" pid="3" name="dc_generator">
    <vt:lpwstr>Document.com</vt:lpwstr>
  </property>
  <property fmtid="{D5CDD505-2E9C-101B-9397-08002B2CF9AE}" pid="4" name="dc_generated_at">
    <vt:lpwstr>2026-11-03T21:40:26.290Z</vt:lpwstr>
  </property>
</Properties>
</file>