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Massachusetts provider and patient with neither state connection.</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3D3113041A28C042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token:3D3113041A28C042</dc:description>
  <cp:lastModifiedBy>Un-named</cp:lastModifiedBy>
  <cp:revision>1</cp:revision>
  <dcterms:created xsi:type="dcterms:W3CDTF">2026-11-03T21:40:33.004Z</dcterms:created>
  <dcterms:modified xsi:type="dcterms:W3CDTF">2026-11-03T21:40:33.004Z</dcterms:modified>
  <dc:subject>dc_token:3D3113041A28C042</dc:subject>
  <cp:keywords>dc_token:3D3113041A28C042</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3D3113041A28C042</vt:lpwstr>
  </property>
  <property fmtid="{D5CDD505-2E9C-101B-9397-08002B2CF9AE}" pid="3" name="dc_generator">
    <vt:lpwstr>Document.com</vt:lpwstr>
  </property>
  <property fmtid="{D5CDD505-2E9C-101B-9397-08002B2CF9AE}" pid="4" name="dc_generated_at">
    <vt:lpwstr>2026-11-03T21:40:33.012Z</vt:lpwstr>
  </property>
</Properties>
</file>